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35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3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19" w:lineRule="exact"/>
        <w:rPr>
          <w:sz w:val="24"/>
          <w:szCs w:val="24"/>
          <w:color w:val="auto"/>
        </w:rPr>
      </w:pPr>
    </w:p>
    <w:p>
      <w:pPr>
        <w:ind w:left="4480"/>
        <w:spacing w:after="0"/>
        <w:tabs>
          <w:tab w:leader="none" w:pos="5760" w:val="left"/>
        </w:tabs>
        <w:rPr>
          <w:sz w:val="20"/>
          <w:szCs w:val="20"/>
          <w:color w:val="auto"/>
        </w:rPr>
      </w:pPr>
      <w:r>
        <w:rPr>
          <w:rFonts w:ascii="Arial" w:cs="Arial" w:eastAsia="Arial" w:hAnsi="Arial"/>
          <w:sz w:val="18"/>
          <w:szCs w:val="18"/>
          <w:color w:val="auto"/>
        </w:rPr>
        <w:t>Date of Report:</w:t>
      </w:r>
      <w:r>
        <w:rPr>
          <w:sz w:val="20"/>
          <w:szCs w:val="20"/>
          <w:color w:val="auto"/>
        </w:rPr>
        <w:tab/>
      </w:r>
      <w:r>
        <w:rPr>
          <w:rFonts w:ascii="Arial" w:cs="Arial" w:eastAsia="Arial" w:hAnsi="Arial"/>
          <w:sz w:val="16"/>
          <w:szCs w:val="16"/>
          <w:color w:val="auto"/>
        </w:rPr>
        <w:t>May 13, 2021</w:t>
      </w:r>
    </w:p>
    <w:p>
      <w:pPr>
        <w:spacing w:after="0" w:line="23"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(Date of earliest event reported)</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ALBANY INTERNATIONAL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1144905</wp:posOffset>
            </wp:positionH>
            <wp:positionV relativeFrom="paragraph">
              <wp:posOffset>22860</wp:posOffset>
            </wp:positionV>
            <wp:extent cx="48431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43145" cy="17145"/>
                    </a:xfrm>
                    <a:prstGeom prst="rect">
                      <a:avLst/>
                    </a:prstGeom>
                    <a:noFill/>
                  </pic:spPr>
                </pic:pic>
              </a:graphicData>
            </a:graphic>
          </wp:anchor>
        </w:drawing>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Delaware</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1-10026</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1"/>
              </w:rPr>
              <w:t>14-0462060</w:t>
            </w:r>
          </w:p>
        </w:tc>
      </w:tr>
      <w:tr>
        <w:trPr>
          <w:trHeight w:val="34"/>
        </w:trPr>
        <w:tc>
          <w:tcPr>
            <w:tcW w:w="386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229"/>
        </w:trPr>
        <w:tc>
          <w:tcPr>
            <w:tcW w:w="3860" w:type="dxa"/>
            <w:vAlign w:val="bottom"/>
          </w:tcPr>
          <w:p>
            <w:pPr>
              <w:jc w:val="center"/>
              <w:ind w:right="30"/>
              <w:spacing w:after="0"/>
              <w:rPr>
                <w:sz w:val="20"/>
                <w:szCs w:val="20"/>
                <w:color w:val="auto"/>
              </w:rPr>
            </w:pPr>
            <w:r>
              <w:rPr>
                <w:rFonts w:ascii="Arial" w:cs="Arial" w:eastAsia="Arial" w:hAnsi="Arial"/>
                <w:sz w:val="18"/>
                <w:szCs w:val="18"/>
                <w:color w:val="auto"/>
                <w:w w:val="92"/>
              </w:rPr>
              <w:t>(State or other jurisdiction</w:t>
            </w:r>
          </w:p>
        </w:tc>
        <w:tc>
          <w:tcPr>
            <w:tcW w:w="3540" w:type="dxa"/>
            <w:vAlign w:val="bottom"/>
          </w:tcPr>
          <w:p>
            <w:pPr>
              <w:jc w:val="center"/>
              <w:spacing w:after="0"/>
              <w:rPr>
                <w:sz w:val="20"/>
                <w:szCs w:val="20"/>
                <w:color w:val="auto"/>
              </w:rPr>
            </w:pPr>
            <w:r>
              <w:rPr>
                <w:rFonts w:ascii="Arial" w:cs="Arial" w:eastAsia="Arial" w:hAnsi="Arial"/>
                <w:sz w:val="18"/>
                <w:szCs w:val="18"/>
                <w:color w:val="auto"/>
                <w:w w:val="93"/>
              </w:rPr>
              <w:t>(Commission</w:t>
            </w:r>
          </w:p>
        </w:tc>
        <w:tc>
          <w:tcPr>
            <w:tcW w:w="3840" w:type="dxa"/>
            <w:vAlign w:val="bottom"/>
          </w:tcPr>
          <w:p>
            <w:pPr>
              <w:jc w:val="center"/>
              <w:ind w:left="10"/>
              <w:spacing w:after="0"/>
              <w:rPr>
                <w:sz w:val="20"/>
                <w:szCs w:val="20"/>
                <w:color w:val="auto"/>
              </w:rPr>
            </w:pPr>
            <w:r>
              <w:rPr>
                <w:rFonts w:ascii="Arial" w:cs="Arial" w:eastAsia="Arial" w:hAnsi="Arial"/>
                <w:sz w:val="18"/>
                <w:szCs w:val="18"/>
                <w:color w:val="auto"/>
                <w:w w:val="92"/>
              </w:rPr>
              <w:t>(I.R.S Employer</w:t>
            </w:r>
          </w:p>
        </w:tc>
      </w:tr>
      <w:tr>
        <w:trPr>
          <w:trHeight w:val="230"/>
        </w:trPr>
        <w:tc>
          <w:tcPr>
            <w:tcW w:w="3860" w:type="dxa"/>
            <w:vAlign w:val="bottom"/>
          </w:tcPr>
          <w:p>
            <w:pPr>
              <w:jc w:val="center"/>
              <w:ind w:right="30"/>
              <w:spacing w:after="0"/>
              <w:rPr>
                <w:sz w:val="20"/>
                <w:szCs w:val="20"/>
                <w:color w:val="auto"/>
              </w:rPr>
            </w:pPr>
            <w:r>
              <w:rPr>
                <w:rFonts w:ascii="Arial" w:cs="Arial" w:eastAsia="Arial" w:hAnsi="Arial"/>
                <w:sz w:val="18"/>
                <w:szCs w:val="18"/>
                <w:color w:val="auto"/>
                <w:w w:val="93"/>
              </w:rPr>
              <w:t>of incorporation)</w:t>
            </w:r>
          </w:p>
        </w:tc>
        <w:tc>
          <w:tcPr>
            <w:tcW w:w="3540" w:type="dxa"/>
            <w:vAlign w:val="bottom"/>
          </w:tcPr>
          <w:p>
            <w:pPr>
              <w:jc w:val="center"/>
              <w:spacing w:after="0"/>
              <w:rPr>
                <w:sz w:val="20"/>
                <w:szCs w:val="20"/>
                <w:color w:val="auto"/>
              </w:rPr>
            </w:pPr>
            <w:r>
              <w:rPr>
                <w:rFonts w:ascii="Arial" w:cs="Arial" w:eastAsia="Arial" w:hAnsi="Arial"/>
                <w:sz w:val="18"/>
                <w:szCs w:val="18"/>
                <w:color w:val="auto"/>
                <w:w w:val="94"/>
              </w:rPr>
              <w:t>File Number)</w:t>
            </w:r>
          </w:p>
        </w:tc>
        <w:tc>
          <w:tcPr>
            <w:tcW w:w="3840" w:type="dxa"/>
            <w:vAlign w:val="bottom"/>
          </w:tcPr>
          <w:p>
            <w:pPr>
              <w:jc w:val="center"/>
              <w:ind w:left="10"/>
              <w:spacing w:after="0"/>
              <w:rPr>
                <w:sz w:val="20"/>
                <w:szCs w:val="20"/>
                <w:color w:val="auto"/>
              </w:rPr>
            </w:pPr>
            <w:r>
              <w:rPr>
                <w:rFonts w:ascii="Arial" w:cs="Arial" w:eastAsia="Arial" w:hAnsi="Arial"/>
                <w:sz w:val="18"/>
                <w:szCs w:val="18"/>
                <w:color w:val="auto"/>
                <w:w w:val="95"/>
              </w:rPr>
              <w:t>Identification No.)</w:t>
            </w:r>
          </w:p>
        </w:tc>
      </w:tr>
      <w:tr>
        <w:trPr>
          <w:trHeight w:val="425"/>
        </w:trPr>
        <w:tc>
          <w:tcPr>
            <w:tcW w:w="74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216 Airport Drive Rochester, New Hampshire</w:t>
            </w:r>
          </w:p>
        </w:tc>
        <w:tc>
          <w:tcPr>
            <w:tcW w:w="3840" w:type="dxa"/>
            <w:vAlign w:val="bottom"/>
            <w:tcBorders>
              <w:bottom w:val="single" w:sz="8" w:color="auto"/>
            </w:tcBorders>
          </w:tcPr>
          <w:p>
            <w:pPr>
              <w:jc w:val="right"/>
              <w:ind w:right="1650"/>
              <w:spacing w:after="0"/>
              <w:rPr>
                <w:sz w:val="20"/>
                <w:szCs w:val="20"/>
                <w:color w:val="auto"/>
              </w:rPr>
            </w:pPr>
            <w:r>
              <w:rPr>
                <w:rFonts w:ascii="Arial" w:cs="Arial" w:eastAsia="Arial" w:hAnsi="Arial"/>
                <w:sz w:val="18"/>
                <w:szCs w:val="18"/>
                <w:b w:val="1"/>
                <w:bCs w:val="1"/>
                <w:color w:val="auto"/>
              </w:rPr>
              <w:t>03867</w:t>
            </w:r>
          </w:p>
        </w:tc>
      </w:tr>
      <w:tr>
        <w:trPr>
          <w:trHeight w:val="243"/>
        </w:trPr>
        <w:tc>
          <w:tcPr>
            <w:tcW w:w="7400" w:type="dxa"/>
            <w:vAlign w:val="bottom"/>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84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338"/>
        </w:trPr>
        <w:tc>
          <w:tcPr>
            <w:tcW w:w="3860" w:type="dxa"/>
            <w:vAlign w:val="bottom"/>
          </w:tcPr>
          <w:p>
            <w:pPr>
              <w:jc w:val="center"/>
              <w:ind w:right="70"/>
              <w:spacing w:after="0"/>
              <w:rPr>
                <w:sz w:val="20"/>
                <w:szCs w:val="20"/>
                <w:color w:val="auto"/>
              </w:rPr>
            </w:pPr>
            <w:r>
              <w:rPr>
                <w:rFonts w:ascii="Arial" w:cs="Arial" w:eastAsia="Arial" w:hAnsi="Arial"/>
                <w:sz w:val="18"/>
                <w:szCs w:val="18"/>
                <w:color w:val="auto"/>
                <w:w w:val="89"/>
              </w:rPr>
              <w:t>Registrant’s telephone number, including area code</w:t>
            </w:r>
          </w:p>
        </w:tc>
        <w:tc>
          <w:tcPr>
            <w:tcW w:w="3540" w:type="dxa"/>
            <w:vAlign w:val="bottom"/>
          </w:tcPr>
          <w:p>
            <w:pPr>
              <w:jc w:val="right"/>
              <w:ind w:right="2270"/>
              <w:spacing w:after="0"/>
              <w:rPr>
                <w:sz w:val="20"/>
                <w:szCs w:val="20"/>
                <w:color w:val="auto"/>
              </w:rPr>
            </w:pPr>
            <w:r>
              <w:rPr>
                <w:rFonts w:ascii="Arial" w:cs="Arial" w:eastAsia="Arial" w:hAnsi="Arial"/>
                <w:sz w:val="18"/>
                <w:szCs w:val="18"/>
                <w:color w:val="auto"/>
              </w:rPr>
              <w:t>603-330-5850</w:t>
            </w:r>
          </w:p>
        </w:tc>
        <w:tc>
          <w:tcPr>
            <w:tcW w:w="3840" w:type="dxa"/>
            <w:vAlign w:val="bottom"/>
          </w:tcPr>
          <w:p>
            <w:pPr>
              <w:spacing w:after="0"/>
              <w:rPr>
                <w:sz w:val="24"/>
                <w:szCs w:val="24"/>
                <w:color w:val="auto"/>
              </w:rPr>
            </w:pPr>
          </w:p>
        </w:tc>
      </w:tr>
    </w:tbl>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1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500" w:type="dxa"/>
            <w:vAlign w:val="bottom"/>
          </w:tcPr>
          <w:p>
            <w:pPr>
              <w:spacing w:after="0"/>
              <w:rPr>
                <w:sz w:val="20"/>
                <w:szCs w:val="20"/>
                <w:color w:val="auto"/>
              </w:rPr>
            </w:pPr>
          </w:p>
        </w:tc>
      </w:tr>
      <w:tr>
        <w:trPr>
          <w:trHeight w:val="346"/>
        </w:trPr>
        <w:tc>
          <w:tcPr>
            <w:tcW w:w="3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4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93"/>
              </w:rPr>
              <w:t>Trading</w:t>
            </w:r>
          </w:p>
        </w:tc>
        <w:tc>
          <w:tcPr>
            <w:tcW w:w="3500" w:type="dxa"/>
            <w:vAlign w:val="bottom"/>
          </w:tcPr>
          <w:p>
            <w:pPr>
              <w:jc w:val="center"/>
              <w:spacing w:after="0"/>
              <w:rPr>
                <w:sz w:val="20"/>
                <w:szCs w:val="20"/>
                <w:color w:val="auto"/>
              </w:rPr>
            </w:pPr>
            <w:r>
              <w:rPr>
                <w:rFonts w:ascii="Arial" w:cs="Arial" w:eastAsia="Arial" w:hAnsi="Arial"/>
                <w:sz w:val="18"/>
                <w:szCs w:val="18"/>
                <w:b w:val="1"/>
                <w:bCs w:val="1"/>
                <w:color w:val="auto"/>
                <w:w w:val="86"/>
              </w:rPr>
              <w:t>Name of each exchange</w:t>
            </w:r>
          </w:p>
        </w:tc>
      </w:tr>
      <w:tr>
        <w:trPr>
          <w:trHeight w:val="234"/>
        </w:trPr>
        <w:tc>
          <w:tcPr>
            <w:tcW w:w="4700" w:type="dxa"/>
            <w:vAlign w:val="bottom"/>
            <w:gridSpan w:val="3"/>
          </w:tcPr>
          <w:p>
            <w:pPr>
              <w:jc w:val="center"/>
              <w:ind w:right="1220"/>
              <w:spacing w:after="0"/>
              <w:rPr>
                <w:sz w:val="20"/>
                <w:szCs w:val="20"/>
                <w:color w:val="auto"/>
              </w:rPr>
            </w:pPr>
            <w:r>
              <w:rPr>
                <w:rFonts w:ascii="Arial" w:cs="Arial" w:eastAsia="Arial" w:hAnsi="Arial"/>
                <w:sz w:val="18"/>
                <w:szCs w:val="18"/>
                <w:b w:val="1"/>
                <w:bCs w:val="1"/>
                <w:color w:val="auto"/>
                <w:w w:val="87"/>
              </w:rPr>
              <w:t>Title of each class</w:t>
            </w:r>
          </w:p>
        </w:tc>
        <w:tc>
          <w:tcPr>
            <w:tcW w:w="304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89"/>
              </w:rPr>
              <w:t>Symbol(s)</w:t>
            </w:r>
          </w:p>
        </w:tc>
        <w:tc>
          <w:tcPr>
            <w:tcW w:w="350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34"/>
        </w:trPr>
        <w:tc>
          <w:tcPr>
            <w:tcW w:w="34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r>
      <w:tr>
        <w:trPr>
          <w:trHeight w:val="229"/>
        </w:trPr>
        <w:tc>
          <w:tcPr>
            <w:tcW w:w="4700" w:type="dxa"/>
            <w:vAlign w:val="bottom"/>
            <w:gridSpan w:val="3"/>
          </w:tcPr>
          <w:p>
            <w:pPr>
              <w:jc w:val="center"/>
              <w:ind w:right="1200"/>
              <w:spacing w:after="0"/>
              <w:rPr>
                <w:sz w:val="20"/>
                <w:szCs w:val="20"/>
                <w:color w:val="auto"/>
              </w:rPr>
            </w:pPr>
            <w:r>
              <w:rPr>
                <w:rFonts w:ascii="Arial" w:cs="Arial" w:eastAsia="Arial" w:hAnsi="Arial"/>
                <w:sz w:val="18"/>
                <w:szCs w:val="18"/>
                <w:color w:val="auto"/>
                <w:w w:val="90"/>
              </w:rPr>
              <w:t>Class A Common Stock, $0.001 par value per</w:t>
            </w:r>
          </w:p>
        </w:tc>
        <w:tc>
          <w:tcPr>
            <w:tcW w:w="3040" w:type="dxa"/>
            <w:vAlign w:val="bottom"/>
            <w:gridSpan w:val="2"/>
          </w:tcPr>
          <w:p>
            <w:pPr>
              <w:jc w:val="center"/>
              <w:ind w:right="1200"/>
              <w:spacing w:after="0"/>
              <w:rPr>
                <w:sz w:val="20"/>
                <w:szCs w:val="20"/>
                <w:color w:val="auto"/>
              </w:rPr>
            </w:pPr>
            <w:r>
              <w:rPr>
                <w:rFonts w:ascii="Arial" w:cs="Arial" w:eastAsia="Arial" w:hAnsi="Arial"/>
                <w:sz w:val="18"/>
                <w:szCs w:val="18"/>
                <w:color w:val="auto"/>
              </w:rPr>
              <w:t>AIN</w:t>
            </w:r>
          </w:p>
        </w:tc>
        <w:tc>
          <w:tcPr>
            <w:tcW w:w="3500" w:type="dxa"/>
            <w:vAlign w:val="bottom"/>
          </w:tcPr>
          <w:p>
            <w:pPr>
              <w:spacing w:after="0"/>
              <w:rPr>
                <w:sz w:val="19"/>
                <w:szCs w:val="19"/>
                <w:color w:val="auto"/>
              </w:rPr>
            </w:pPr>
          </w:p>
        </w:tc>
      </w:tr>
      <w:tr>
        <w:trPr>
          <w:trHeight w:val="230"/>
        </w:trPr>
        <w:tc>
          <w:tcPr>
            <w:tcW w:w="4700" w:type="dxa"/>
            <w:vAlign w:val="bottom"/>
            <w:gridSpan w:val="3"/>
          </w:tcPr>
          <w:p>
            <w:pPr>
              <w:jc w:val="center"/>
              <w:ind w:right="1200"/>
              <w:spacing w:after="0"/>
              <w:rPr>
                <w:sz w:val="20"/>
                <w:szCs w:val="20"/>
                <w:color w:val="auto"/>
              </w:rPr>
            </w:pPr>
            <w:r>
              <w:rPr>
                <w:rFonts w:ascii="Arial" w:cs="Arial" w:eastAsia="Arial" w:hAnsi="Arial"/>
                <w:sz w:val="18"/>
                <w:szCs w:val="18"/>
                <w:color w:val="auto"/>
                <w:w w:val="84"/>
              </w:rPr>
              <w:t>share</w:t>
            </w:r>
          </w:p>
        </w:tc>
        <w:tc>
          <w:tcPr>
            <w:tcW w:w="2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500" w:type="dxa"/>
            <w:vAlign w:val="bottom"/>
          </w:tcPr>
          <w:p>
            <w:pPr>
              <w:jc w:val="center"/>
              <w:spacing w:after="0"/>
              <w:rPr>
                <w:sz w:val="20"/>
                <w:szCs w:val="20"/>
                <w:color w:val="auto"/>
              </w:rPr>
            </w:pPr>
            <w:r>
              <w:rPr>
                <w:rFonts w:ascii="Arial" w:cs="Arial" w:eastAsia="Arial" w:hAnsi="Arial"/>
                <w:sz w:val="18"/>
                <w:szCs w:val="18"/>
                <w:color w:val="auto"/>
                <w:w w:val="92"/>
              </w:rPr>
              <w:t>The New York Stock Exchange (NYSE)</w:t>
            </w:r>
          </w:p>
        </w:tc>
      </w:tr>
      <w:tr>
        <w:trPr>
          <w:trHeight w:val="256"/>
        </w:trPr>
        <w:tc>
          <w:tcPr>
            <w:tcW w:w="4700" w:type="dxa"/>
            <w:vAlign w:val="bottom"/>
            <w:gridSpan w:val="3"/>
          </w:tcPr>
          <w:p>
            <w:pPr>
              <w:jc w:val="center"/>
              <w:ind w:right="1220"/>
              <w:spacing w:after="0"/>
              <w:rPr>
                <w:sz w:val="20"/>
                <w:szCs w:val="20"/>
                <w:color w:val="auto"/>
              </w:rPr>
            </w:pPr>
            <w:r>
              <w:rPr>
                <w:rFonts w:ascii="Arial" w:cs="Arial" w:eastAsia="Arial" w:hAnsi="Arial"/>
                <w:sz w:val="18"/>
                <w:szCs w:val="18"/>
                <w:color w:val="auto"/>
                <w:w w:val="89"/>
              </w:rPr>
              <w:t>Class B Common Stock, $0.001 par value per</w:t>
            </w:r>
          </w:p>
        </w:tc>
        <w:tc>
          <w:tcPr>
            <w:tcW w:w="3040" w:type="dxa"/>
            <w:vAlign w:val="bottom"/>
            <w:gridSpan w:val="2"/>
          </w:tcPr>
          <w:p>
            <w:pPr>
              <w:jc w:val="center"/>
              <w:ind w:right="1200"/>
              <w:spacing w:after="0"/>
              <w:rPr>
                <w:sz w:val="20"/>
                <w:szCs w:val="20"/>
                <w:color w:val="auto"/>
              </w:rPr>
            </w:pPr>
            <w:r>
              <w:rPr>
                <w:rFonts w:ascii="Arial" w:cs="Arial" w:eastAsia="Arial" w:hAnsi="Arial"/>
                <w:sz w:val="18"/>
                <w:szCs w:val="18"/>
                <w:color w:val="auto"/>
              </w:rPr>
              <w:t>AIN</w:t>
            </w:r>
          </w:p>
        </w:tc>
        <w:tc>
          <w:tcPr>
            <w:tcW w:w="3500" w:type="dxa"/>
            <w:vAlign w:val="bottom"/>
          </w:tcPr>
          <w:p>
            <w:pPr>
              <w:spacing w:after="0"/>
              <w:rPr>
                <w:sz w:val="22"/>
                <w:szCs w:val="22"/>
                <w:color w:val="auto"/>
              </w:rPr>
            </w:pPr>
          </w:p>
        </w:tc>
      </w:tr>
      <w:tr>
        <w:trPr>
          <w:trHeight w:val="230"/>
        </w:trPr>
        <w:tc>
          <w:tcPr>
            <w:tcW w:w="4700" w:type="dxa"/>
            <w:vAlign w:val="bottom"/>
            <w:gridSpan w:val="3"/>
          </w:tcPr>
          <w:p>
            <w:pPr>
              <w:jc w:val="center"/>
              <w:ind w:right="1200"/>
              <w:spacing w:after="0"/>
              <w:rPr>
                <w:sz w:val="20"/>
                <w:szCs w:val="20"/>
                <w:color w:val="auto"/>
              </w:rPr>
            </w:pPr>
            <w:r>
              <w:rPr>
                <w:rFonts w:ascii="Arial" w:cs="Arial" w:eastAsia="Arial" w:hAnsi="Arial"/>
                <w:sz w:val="18"/>
                <w:szCs w:val="18"/>
                <w:color w:val="auto"/>
                <w:w w:val="84"/>
              </w:rPr>
              <w:t>share</w:t>
            </w:r>
          </w:p>
        </w:tc>
        <w:tc>
          <w:tcPr>
            <w:tcW w:w="2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500" w:type="dxa"/>
            <w:vAlign w:val="bottom"/>
          </w:tcPr>
          <w:p>
            <w:pPr>
              <w:jc w:val="center"/>
              <w:spacing w:after="0"/>
              <w:rPr>
                <w:sz w:val="20"/>
                <w:szCs w:val="20"/>
                <w:color w:val="auto"/>
              </w:rPr>
            </w:pPr>
            <w:r>
              <w:rPr>
                <w:rFonts w:ascii="Arial" w:cs="Arial" w:eastAsia="Arial" w:hAnsi="Arial"/>
                <w:sz w:val="18"/>
                <w:szCs w:val="18"/>
                <w:color w:val="auto"/>
                <w:w w:val="92"/>
              </w:rPr>
              <w:t>The New York Stock Exchange (NYSE)</w:t>
            </w:r>
          </w:p>
        </w:tc>
      </w:tr>
    </w:tbl>
    <w:p>
      <w:pPr>
        <w:spacing w:after="0" w:line="337"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1933 (230.405 of this chapter) or Rule 12b-2 of the Securities Exchange Act of 1934 (240.12b-2 of this chapter).</w:t>
      </w:r>
    </w:p>
    <w:p>
      <w:pPr>
        <w:spacing w:after="0" w:line="130"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98" w:lineRule="exact"/>
        <w:rPr>
          <w:rFonts w:ascii="MS PGothic" w:cs="MS PGothic" w:eastAsia="MS PGothic" w:hAnsi="MS PGothic"/>
          <w:sz w:val="18"/>
          <w:szCs w:val="18"/>
          <w:color w:val="auto"/>
        </w:rPr>
      </w:pPr>
    </w:p>
    <w:p>
      <w:pPr>
        <w:ind w:left="340" w:right="140" w:hanging="332"/>
        <w:spacing w:after="0" w:line="277" w:lineRule="auto"/>
        <w:tabs>
          <w:tab w:leader="none" w:pos="378"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 w:name="page2"/>
    <w:bookmarkEnd w:id="1"/>
    <w:p>
      <w:pPr>
        <w:ind w:right="240"/>
        <w:spacing w:after="0" w:line="26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26"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On May 13, 2021, Albany International Corp. (“the Company”) announced that it had promoted Elisabeth Indriani to the position of Vice President - Controller, and principal accounting officer, effective immediately. Ms. Indriani succeeds David M. Pawlick, who previously announced his decision to retire effective September 30, 2021. Mr. Pawlick will remain with the Company and assist in the transition process, as needed, until September 30, 2021.</w:t>
      </w:r>
    </w:p>
    <w:p>
      <w:pPr>
        <w:spacing w:after="0" w:line="17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Ms. Indriani has been with the Company since March 31, 2021. Prior to joining the Company, she was employed by Century Aluminum Company in Chicago, Illinois, first as an Assistant Controller, followed by Corporate Controller and ultimately as Global Controller. Prior to that she was an Accounting Manager with Sargent &amp; Lundy, LLC, and had worked for 12 years at Deloitte &amp; Touche in various public accounting roles. Ms. Indriani holds a B.S. degree from the University of California at Los Angeles, and a Master of Accounting degree from the University of Southern California.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summary of Ms. Indriani’s material compensation terms, which is incorporated by reference herein, is attached as Exhibit 99.1.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 The following exhibit is being furnished herewith:</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99.1  Summary of Indriani compensation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69"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ALBANY INTERNATIONAL CORP.</w:t>
      </w:r>
    </w:p>
    <w:p>
      <w:pPr>
        <w:spacing w:after="0" w:line="270" w:lineRule="exact"/>
        <w:rPr>
          <w:sz w:val="20"/>
          <w:szCs w:val="20"/>
          <w:color w:val="auto"/>
        </w:rPr>
      </w:pPr>
    </w:p>
    <w:tbl>
      <w:tblPr>
        <w:tblLayout w:type="fixed"/>
        <w:tblInd w:w="5380" w:type="dxa"/>
        <w:tblCellMar>
          <w:top w:w="0" w:type="dxa"/>
          <w:left w:w="0" w:type="dxa"/>
          <w:bottom w:w="0" w:type="dxa"/>
          <w:right w:w="0" w:type="dxa"/>
        </w:tblCellMar>
      </w:tblPr>
      <w:tr>
        <w:trPr>
          <w:trHeight w:val="254"/>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Stephen M. Nolan</w:t>
            </w:r>
          </w:p>
        </w:tc>
      </w:tr>
      <w:tr>
        <w:trPr>
          <w:trHeight w:val="42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180" w:type="dxa"/>
            <w:vAlign w:val="bottom"/>
          </w:tcPr>
          <w:p>
            <w:pPr>
              <w:ind w:left="20"/>
              <w:spacing w:after="0"/>
              <w:rPr>
                <w:sz w:val="20"/>
                <w:szCs w:val="20"/>
                <w:color w:val="auto"/>
              </w:rPr>
            </w:pPr>
            <w:r>
              <w:rPr>
                <w:rFonts w:ascii="Arial" w:cs="Arial" w:eastAsia="Arial" w:hAnsi="Arial"/>
                <w:sz w:val="18"/>
                <w:szCs w:val="18"/>
                <w:color w:val="auto"/>
              </w:rPr>
              <w:t>Stephen M. Nolan</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18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r>
        <w:trPr>
          <w:trHeight w:val="270"/>
        </w:trPr>
        <w:tc>
          <w:tcPr>
            <w:tcW w:w="700" w:type="dxa"/>
            <w:vAlign w:val="bottom"/>
          </w:tcPr>
          <w:p>
            <w:pPr>
              <w:spacing w:after="0"/>
              <w:rPr>
                <w:sz w:val="23"/>
                <w:szCs w:val="23"/>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Date: May 14, 2021</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36"/>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580" w:type="dxa"/>
            <w:vAlign w:val="bottom"/>
          </w:tcPr>
          <w:p>
            <w:pPr>
              <w:spacing w:after="0"/>
              <w:rPr>
                <w:sz w:val="20"/>
                <w:szCs w:val="20"/>
                <w:color w:val="auto"/>
              </w:rPr>
            </w:pPr>
          </w:p>
        </w:tc>
        <w:tc>
          <w:tcPr>
            <w:tcW w:w="304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Summary of Indriani compensation terms.</w:t>
              </w:r>
            </w:hyperlink>
          </w:p>
        </w:tc>
      </w:tr>
      <w:tr>
        <w:trPr>
          <w:trHeight w:val="291"/>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580" w:type="dxa"/>
            <w:vAlign w:val="bottom"/>
          </w:tcPr>
          <w:p>
            <w:pPr>
              <w:spacing w:after="0"/>
              <w:rPr>
                <w:sz w:val="24"/>
                <w:szCs w:val="24"/>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Inline XBRL cover page.</w:t>
            </w:r>
          </w:p>
        </w:tc>
      </w:tr>
    </w:tbl>
    <w:p>
      <w:pPr>
        <w:sectPr>
          <w:pgSz w:w="11900" w:h="16838" w:orient="portrait"/>
          <w:cols w:equalWidth="0" w:num="1">
            <w:col w:w="11220"/>
          </w:cols>
          <w:pgMar w:left="320" w:top="891" w:right="3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6440" w:type="dxa"/>
            <w:vAlign w:val="bottom"/>
          </w:tcPr>
          <w:p>
            <w:pPr>
              <w:ind w:left="4240"/>
              <w:spacing w:after="0"/>
              <w:rPr>
                <w:sz w:val="20"/>
                <w:szCs w:val="20"/>
                <w:color w:val="auto"/>
              </w:rPr>
            </w:pPr>
            <w:r>
              <w:rPr>
                <w:rFonts w:ascii="Arial" w:cs="Arial" w:eastAsia="Arial" w:hAnsi="Arial"/>
                <w:sz w:val="18"/>
                <w:szCs w:val="18"/>
                <w:b w:val="1"/>
                <w:bCs w:val="1"/>
                <w:color w:val="auto"/>
              </w:rPr>
              <w:t>Exhibit 99.1</w:t>
            </w:r>
          </w:p>
        </w:tc>
        <w:tc>
          <w:tcPr>
            <w:tcW w:w="1260" w:type="dxa"/>
            <w:vAlign w:val="bottom"/>
          </w:tcPr>
          <w:p>
            <w:pPr>
              <w:spacing w:after="0"/>
              <w:rPr>
                <w:sz w:val="20"/>
                <w:szCs w:val="20"/>
                <w:color w:val="auto"/>
              </w:rPr>
            </w:pPr>
          </w:p>
        </w:tc>
      </w:tr>
      <w:tr>
        <w:trPr>
          <w:trHeight w:val="418"/>
        </w:trPr>
        <w:tc>
          <w:tcPr>
            <w:tcW w:w="400" w:type="dxa"/>
            <w:vAlign w:val="bottom"/>
          </w:tcPr>
          <w:p>
            <w:pPr>
              <w:spacing w:after="0"/>
              <w:rPr>
                <w:sz w:val="24"/>
                <w:szCs w:val="24"/>
                <w:color w:val="auto"/>
              </w:rPr>
            </w:pPr>
          </w:p>
        </w:tc>
        <w:tc>
          <w:tcPr>
            <w:tcW w:w="31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0"/>
              </w:rPr>
              <w:t>Summary of Indriani Compensation Terms</w:t>
            </w:r>
          </w:p>
        </w:tc>
        <w:tc>
          <w:tcPr>
            <w:tcW w:w="64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80"/>
        </w:trPr>
        <w:tc>
          <w:tcPr>
            <w:tcW w:w="720" w:type="dxa"/>
            <w:vAlign w:val="bottom"/>
            <w:gridSpan w:val="2"/>
          </w:tcPr>
          <w:p>
            <w:pPr>
              <w:spacing w:after="0"/>
              <w:rPr>
                <w:sz w:val="20"/>
                <w:szCs w:val="20"/>
                <w:color w:val="auto"/>
              </w:rPr>
            </w:pPr>
            <w:r>
              <w:rPr>
                <w:rFonts w:ascii="Arial" w:cs="Arial" w:eastAsia="Arial" w:hAnsi="Arial"/>
                <w:sz w:val="18"/>
                <w:szCs w:val="18"/>
                <w:color w:val="auto"/>
              </w:rPr>
              <w:t>Position</w:t>
            </w:r>
          </w:p>
        </w:tc>
        <w:tc>
          <w:tcPr>
            <w:tcW w:w="9260" w:type="dxa"/>
            <w:vAlign w:val="bottom"/>
            <w:gridSpan w:val="2"/>
          </w:tcPr>
          <w:p>
            <w:pPr>
              <w:ind w:left="60"/>
              <w:spacing w:after="0"/>
              <w:rPr>
                <w:sz w:val="20"/>
                <w:szCs w:val="20"/>
                <w:color w:val="auto"/>
              </w:rPr>
            </w:pPr>
            <w:r>
              <w:rPr>
                <w:rFonts w:ascii="Arial" w:cs="Arial" w:eastAsia="Arial" w:hAnsi="Arial"/>
                <w:sz w:val="18"/>
                <w:szCs w:val="18"/>
                <w:color w:val="auto"/>
              </w:rPr>
              <w:t>Vice President – Controller, effective May 13, 2021.</w:t>
            </w:r>
          </w:p>
        </w:tc>
        <w:tc>
          <w:tcPr>
            <w:tcW w:w="1260" w:type="dxa"/>
            <w:vAlign w:val="bottom"/>
          </w:tcPr>
          <w:p>
            <w:pPr>
              <w:spacing w:after="0"/>
              <w:rPr>
                <w:sz w:val="24"/>
                <w:szCs w:val="24"/>
                <w:color w:val="auto"/>
              </w:rPr>
            </w:pPr>
          </w:p>
        </w:tc>
      </w:tr>
      <w:tr>
        <w:trPr>
          <w:trHeight w:val="459"/>
        </w:trPr>
        <w:tc>
          <w:tcPr>
            <w:tcW w:w="9980" w:type="dxa"/>
            <w:vAlign w:val="bottom"/>
            <w:gridSpan w:val="4"/>
          </w:tcPr>
          <w:p>
            <w:pPr>
              <w:spacing w:after="0"/>
              <w:rPr>
                <w:sz w:val="20"/>
                <w:szCs w:val="20"/>
                <w:color w:val="auto"/>
              </w:rPr>
            </w:pPr>
            <w:r>
              <w:rPr>
                <w:rFonts w:ascii="Arial" w:cs="Arial" w:eastAsia="Arial" w:hAnsi="Arial"/>
                <w:sz w:val="18"/>
                <w:szCs w:val="18"/>
                <w:color w:val="auto"/>
                <w:w w:val="93"/>
              </w:rPr>
              <w:t>Term   Employment at will. Employment may be terminated by Ms. Indriani or Albany International Corp. ("the Company") at any time.</w:t>
            </w:r>
          </w:p>
        </w:tc>
        <w:tc>
          <w:tcPr>
            <w:tcW w:w="1260" w:type="dxa"/>
            <w:vAlign w:val="bottom"/>
          </w:tcPr>
          <w:p>
            <w:pPr>
              <w:spacing w:after="0"/>
              <w:rPr>
                <w:sz w:val="24"/>
                <w:szCs w:val="24"/>
                <w:color w:val="auto"/>
              </w:rPr>
            </w:pPr>
          </w:p>
        </w:tc>
      </w:tr>
      <w:tr>
        <w:trPr>
          <w:trHeight w:val="445"/>
        </w:trPr>
        <w:tc>
          <w:tcPr>
            <w:tcW w:w="9980" w:type="dxa"/>
            <w:vAlign w:val="bottom"/>
            <w:gridSpan w:val="4"/>
          </w:tcPr>
          <w:p>
            <w:pPr>
              <w:spacing w:after="0"/>
              <w:rPr>
                <w:sz w:val="20"/>
                <w:szCs w:val="20"/>
                <w:color w:val="auto"/>
              </w:rPr>
            </w:pPr>
            <w:r>
              <w:rPr>
                <w:rFonts w:ascii="Arial" w:cs="Arial" w:eastAsia="Arial" w:hAnsi="Arial"/>
                <w:sz w:val="18"/>
                <w:szCs w:val="18"/>
                <w:color w:val="auto"/>
              </w:rPr>
              <w:t>Base Salary   Initial base salary at the rate of $275,000 per year. Salary shall be subject to adjustment from time-to-time in</w:t>
            </w:r>
          </w:p>
        </w:tc>
        <w:tc>
          <w:tcPr>
            <w:tcW w:w="1260" w:type="dxa"/>
            <w:vAlign w:val="bottom"/>
          </w:tcPr>
          <w:p>
            <w:pPr>
              <w:ind w:left="40"/>
              <w:spacing w:after="0"/>
              <w:rPr>
                <w:sz w:val="20"/>
                <w:szCs w:val="20"/>
                <w:color w:val="auto"/>
              </w:rPr>
            </w:pPr>
            <w:r>
              <w:rPr>
                <w:rFonts w:ascii="Arial" w:cs="Arial" w:eastAsia="Arial" w:hAnsi="Arial"/>
                <w:sz w:val="18"/>
                <w:szCs w:val="18"/>
                <w:color w:val="auto"/>
                <w:w w:val="85"/>
              </w:rPr>
              <w:t>the same manner</w:t>
            </w:r>
          </w:p>
        </w:tc>
      </w:tr>
      <w:tr>
        <w:trPr>
          <w:trHeight w:val="216"/>
        </w:trPr>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w w:val="99"/>
              </w:rPr>
              <w:t>as for other executive officers. Salaries of executive officers are customarily reviewed by the Company’s Board Compensation</w:t>
            </w:r>
          </w:p>
        </w:tc>
      </w:tr>
      <w:tr>
        <w:trPr>
          <w:trHeight w:val="230"/>
        </w:trPr>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60" w:type="dxa"/>
            <w:vAlign w:val="bottom"/>
            <w:gridSpan w:val="2"/>
          </w:tcPr>
          <w:p>
            <w:pPr>
              <w:ind w:left="580"/>
              <w:spacing w:after="0"/>
              <w:rPr>
                <w:sz w:val="20"/>
                <w:szCs w:val="20"/>
                <w:color w:val="auto"/>
              </w:rPr>
            </w:pPr>
            <w:r>
              <w:rPr>
                <w:rFonts w:ascii="Arial" w:cs="Arial" w:eastAsia="Arial" w:hAnsi="Arial"/>
                <w:sz w:val="18"/>
                <w:szCs w:val="18"/>
                <w:color w:val="auto"/>
              </w:rPr>
              <w:t>Committee in February and adjusted in April of each year.</w:t>
            </w:r>
          </w:p>
        </w:tc>
        <w:tc>
          <w:tcPr>
            <w:tcW w:w="1260" w:type="dxa"/>
            <w:vAlign w:val="bottom"/>
          </w:tcPr>
          <w:p>
            <w:pPr>
              <w:spacing w:after="0"/>
              <w:rPr>
                <w:sz w:val="20"/>
                <w:szCs w:val="20"/>
                <w:color w:val="auto"/>
              </w:rPr>
            </w:pPr>
          </w:p>
        </w:tc>
      </w:tr>
      <w:tr>
        <w:trPr>
          <w:trHeight w:val="445"/>
        </w:trPr>
        <w:tc>
          <w:tcPr>
            <w:tcW w:w="9980" w:type="dxa"/>
            <w:vAlign w:val="bottom"/>
            <w:gridSpan w:val="4"/>
          </w:tcPr>
          <w:p>
            <w:pPr>
              <w:spacing w:after="0"/>
              <w:rPr>
                <w:sz w:val="20"/>
                <w:szCs w:val="20"/>
                <w:color w:val="auto"/>
              </w:rPr>
            </w:pPr>
            <w:r>
              <w:rPr>
                <w:rFonts w:ascii="Arial" w:cs="Arial" w:eastAsia="Arial" w:hAnsi="Arial"/>
                <w:sz w:val="18"/>
                <w:szCs w:val="18"/>
                <w:color w:val="auto"/>
              </w:rPr>
              <w:t>Short-Term</w:t>
            </w:r>
          </w:p>
        </w:tc>
        <w:tc>
          <w:tcPr>
            <w:tcW w:w="1260" w:type="dxa"/>
            <w:vAlign w:val="bottom"/>
          </w:tcPr>
          <w:p>
            <w:pPr>
              <w:spacing w:after="0"/>
              <w:rPr>
                <w:sz w:val="24"/>
                <w:szCs w:val="24"/>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w w:val="97"/>
              </w:rPr>
              <w:t>Incentive</w:t>
            </w:r>
          </w:p>
        </w:tc>
        <w:tc>
          <w:tcPr>
            <w:tcW w:w="10520" w:type="dxa"/>
            <w:vAlign w:val="bottom"/>
            <w:gridSpan w:val="3"/>
          </w:tcPr>
          <w:p>
            <w:pPr>
              <w:ind w:left="140"/>
              <w:spacing w:after="0"/>
              <w:rPr>
                <w:sz w:val="20"/>
                <w:szCs w:val="20"/>
                <w:color w:val="auto"/>
              </w:rPr>
            </w:pPr>
            <w:r>
              <w:rPr>
                <w:rFonts w:ascii="Arial" w:cs="Arial" w:eastAsia="Arial" w:hAnsi="Arial"/>
                <w:sz w:val="18"/>
                <w:szCs w:val="18"/>
                <w:color w:val="auto"/>
                <w:w w:val="98"/>
              </w:rPr>
              <w:t>Ms. Indriani will be eligible for a short-term incentive under the annual incentive bonus program for service   performed in 2021, to be</w:t>
            </w:r>
          </w:p>
        </w:tc>
      </w:tr>
      <w:tr>
        <w:trPr>
          <w:trHeight w:val="216"/>
        </w:trPr>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w w:val="94"/>
              </w:rPr>
              <w:t>determined and paid in cash during early 2022. Under this program, she will be entitled to receive between 0% and 200% of a target</w:t>
            </w:r>
          </w:p>
        </w:tc>
      </w:tr>
      <w:tr>
        <w:trPr>
          <w:trHeight w:val="216"/>
        </w:trPr>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w w:val="91"/>
              </w:rPr>
              <w:t>award, equal to forty-five percent (45%) of her annual base salary, pro-rated from the date of hire, and based on Company performance</w:t>
            </w:r>
          </w:p>
        </w:tc>
      </w:tr>
      <w:tr>
        <w:trPr>
          <w:trHeight w:val="216"/>
        </w:trPr>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w w:val="97"/>
              </w:rPr>
              <w:t>with respect to metrics relating to Adjusted EBITDA, safety and compliance. Ms. Indriani will be eligible in 2022 and thereafter to</w:t>
            </w:r>
          </w:p>
        </w:tc>
      </w:tr>
      <w:tr>
        <w:trPr>
          <w:trHeight w:val="216"/>
        </w:trPr>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w w:val="91"/>
              </w:rPr>
              <w:t>participate in the annual incentive bonus plan, or any similar annual bonus program, as the same may be adopted, amended, modified or</w:t>
            </w:r>
          </w:p>
        </w:tc>
      </w:tr>
      <w:tr>
        <w:trPr>
          <w:trHeight w:val="230"/>
        </w:trPr>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60" w:type="dxa"/>
            <w:vAlign w:val="bottom"/>
            <w:gridSpan w:val="2"/>
          </w:tcPr>
          <w:p>
            <w:pPr>
              <w:ind w:left="580"/>
              <w:spacing w:after="0"/>
              <w:rPr>
                <w:sz w:val="20"/>
                <w:szCs w:val="20"/>
                <w:color w:val="auto"/>
              </w:rPr>
            </w:pPr>
            <w:r>
              <w:rPr>
                <w:rFonts w:ascii="Arial" w:cs="Arial" w:eastAsia="Arial" w:hAnsi="Arial"/>
                <w:sz w:val="18"/>
                <w:szCs w:val="18"/>
                <w:color w:val="auto"/>
              </w:rPr>
              <w:t>terminated by the Company, in accordance with its terms.</w:t>
            </w:r>
          </w:p>
        </w:tc>
        <w:tc>
          <w:tcPr>
            <w:tcW w:w="1260" w:type="dxa"/>
            <w:vAlign w:val="bottom"/>
          </w:tcPr>
          <w:p>
            <w:pPr>
              <w:spacing w:after="0"/>
              <w:rPr>
                <w:sz w:val="20"/>
                <w:szCs w:val="20"/>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Long-Term</w:t>
      </w:r>
    </w:p>
    <w:p>
      <w:pPr>
        <w:spacing w:after="0" w:line="23" w:lineRule="exact"/>
        <w:rPr>
          <w:sz w:val="20"/>
          <w:szCs w:val="20"/>
          <w:color w:val="auto"/>
        </w:rPr>
      </w:pPr>
    </w:p>
    <w:p>
      <w:pPr>
        <w:ind w:left="860" w:right="40" w:hanging="1295"/>
        <w:spacing w:after="0" w:line="286" w:lineRule="auto"/>
        <w:tabs>
          <w:tab w:leader="none" w:pos="840" w:val="left"/>
        </w:tabs>
        <w:rPr>
          <w:sz w:val="20"/>
          <w:szCs w:val="20"/>
          <w:color w:val="auto"/>
        </w:rPr>
      </w:pPr>
      <w:r>
        <w:rPr>
          <w:rFonts w:ascii="Arial" w:cs="Arial" w:eastAsia="Arial" w:hAnsi="Arial"/>
          <w:sz w:val="18"/>
          <w:szCs w:val="18"/>
          <w:color w:val="auto"/>
        </w:rPr>
        <w:t>Incentive</w:t>
      </w:r>
      <w:r>
        <w:rPr>
          <w:sz w:val="20"/>
          <w:szCs w:val="20"/>
          <w:color w:val="auto"/>
        </w:rPr>
        <w:tab/>
      </w:r>
      <w:r>
        <w:rPr>
          <w:rFonts w:ascii="Arial" w:cs="Arial" w:eastAsia="Arial" w:hAnsi="Arial"/>
          <w:sz w:val="16"/>
          <w:szCs w:val="16"/>
          <w:color w:val="auto"/>
        </w:rPr>
        <w:t>Ms. Indriani will also be eligible to receive a long-term incentive award under the Company's 2011 Performance Phantom Stock Plan. Grants under this plan are denominated as share targets, but no shares of Class A Common Stock are issued or issuable under the Plan, nor is there an exercise price. Instead, upon vesting, the earned shares are paid in full in cash, in an amount equal to the average closing price of one share of the Company’s Class A Common Stock during a specified period preceding the vesting/payment date. The award entitles Ms. Indriani to earn and be credited with between 0% and 200% of the target award, equal to thirty-five percent (35%) of her annual base salary, pro-rated from the date of hire, based on the extent to which the Company attained certain performance goals during the annual performance period, being calendar year 2021. Once the number of shares earned is determined, the award will vest as to 20% of the earned shares on the last day of February in each of the first five years following the performance period, but only if Ms. Indriani is then employed by the Company or a subsidiary. Ms. Indriani will be eligible in 2022 and thereafter to participate in any long-term executive incentive bonus program, as the same may be adopted, amended, modified or terminated by the Company, in accordance with its terms.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23" w:lineRule="exact"/>
        <w:rPr>
          <w:sz w:val="20"/>
          <w:szCs w:val="20"/>
          <w:color w:val="auto"/>
        </w:rPr>
      </w:pPr>
    </w:p>
    <w:p>
      <w:pPr>
        <w:jc w:val="both"/>
        <w:ind w:left="840" w:right="220" w:hanging="1295"/>
        <w:spacing w:after="0" w:line="255" w:lineRule="auto"/>
        <w:tabs>
          <w:tab w:leader="none" w:pos="820" w:val="left"/>
        </w:tabs>
        <w:rPr>
          <w:sz w:val="20"/>
          <w:szCs w:val="20"/>
          <w:color w:val="auto"/>
        </w:rPr>
      </w:pPr>
      <w:r>
        <w:rPr>
          <w:rFonts w:ascii="Arial" w:cs="Arial" w:eastAsia="Arial" w:hAnsi="Arial"/>
          <w:sz w:val="18"/>
          <w:szCs w:val="18"/>
          <w:color w:val="auto"/>
        </w:rPr>
        <w:t>Benefits</w:t>
        <w:tab/>
        <w:t>Ms. Indriani will otherwise be eligible to participate in all of the Company's employee benefit plans, policies and arrangements applicable to other executive officers generally and commensurate with her grade, including, without limitation, vacation, relocation, 401(k), health-care, vision, life insurance and disability; in each case, as the same may exist from time to time.</w:t>
      </w:r>
    </w:p>
    <w:sectPr>
      <w:pgSz w:w="11900" w:h="16838" w:orient="portrait"/>
      <w:cols w:equalWidth="0" w:num="1">
        <w:col w:w="11240"/>
      </w:cols>
      <w:pgMar w:left="320" w:top="13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2021-05-14T13:46:14Z</dcterms:created>
  <dcterms:modified xsi:type="dcterms:W3CDTF">2021-05-14T13:46:14Z</dcterms:modified>
</cp:coreProperties>
</file>