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43"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Washington, D.C. 20549</w:t>
      </w:r>
    </w:p>
    <w:p>
      <w:pPr>
        <w:spacing w:after="0" w:line="35"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10-Q</w:t>
      </w:r>
    </w:p>
    <w:p>
      <w:pPr>
        <w:spacing w:after="0" w:line="118"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28" w:lineRule="exact"/>
        <w:rPr>
          <w:sz w:val="24"/>
          <w:szCs w:val="24"/>
          <w:color w:val="auto"/>
        </w:rPr>
      </w:pPr>
    </w:p>
    <w:p>
      <w:pPr>
        <w:ind w:left="360"/>
        <w:spacing w:after="0"/>
        <w:tabs>
          <w:tab w:leader="none" w:pos="3440" w:val="left"/>
        </w:tabs>
        <w:rPr>
          <w:sz w:val="20"/>
          <w:szCs w:val="20"/>
          <w:color w:val="auto"/>
        </w:rPr>
      </w:pPr>
      <w:r>
        <w:rPr>
          <w:rFonts w:ascii="Arial" w:cs="Arial" w:eastAsia="Arial" w:hAnsi="Arial"/>
          <w:sz w:val="18"/>
          <w:szCs w:val="18"/>
          <w:color w:val="auto"/>
        </w:rPr>
        <w:t>For the quarterly period ended:</w:t>
      </w:r>
      <w:r>
        <w:rPr>
          <w:sz w:val="20"/>
          <w:szCs w:val="20"/>
          <w:color w:val="auto"/>
        </w:rPr>
        <w:tab/>
      </w:r>
      <w:r>
        <w:rPr>
          <w:rFonts w:ascii="Arial" w:cs="Arial" w:eastAsia="Arial" w:hAnsi="Arial"/>
          <w:sz w:val="17"/>
          <w:szCs w:val="17"/>
          <w:color w:val="auto"/>
        </w:rPr>
        <w:t>September 30, 2026</w:t>
      </w:r>
    </w:p>
    <w:p>
      <w:pPr>
        <w:spacing w:after="0" w:line="86"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OR</w:t>
      </w:r>
    </w:p>
    <w:p>
      <w:pPr>
        <w:spacing w:after="0" w:line="108"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20"/>
          <w:szCs w:val="20"/>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5" w:lineRule="exact"/>
        <w:rPr>
          <w:sz w:val="24"/>
          <w:szCs w:val="24"/>
          <w:color w:val="auto"/>
        </w:rPr>
      </w:pPr>
    </w:p>
    <w:p>
      <w:pPr>
        <w:ind w:left="360"/>
        <w:spacing w:after="0"/>
        <w:rPr>
          <w:sz w:val="20"/>
          <w:szCs w:val="20"/>
          <w:color w:val="auto"/>
        </w:rPr>
      </w:pPr>
      <w:r>
        <w:rPr>
          <w:rFonts w:ascii="Arial" w:cs="Arial" w:eastAsia="Arial" w:hAnsi="Arial"/>
          <w:sz w:val="18"/>
          <w:szCs w:val="18"/>
          <w:color w:val="auto"/>
        </w:rPr>
        <w:t>For the transition period from __________ to __________</w:t>
      </w:r>
    </w:p>
    <w:p>
      <w:pPr>
        <w:spacing w:after="0" w:line="8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1-10026</w:t>
      </w:r>
    </w:p>
    <w:p>
      <w:pPr>
        <w:spacing w:after="0" w:line="287" w:lineRule="exact"/>
        <w:rPr>
          <w:sz w:val="24"/>
          <w:szCs w:val="24"/>
          <w:color w:val="auto"/>
        </w:rPr>
      </w:pPr>
    </w:p>
    <w:p>
      <w:pPr>
        <w:jc w:val="center"/>
        <w:ind w:right="20"/>
        <w:spacing w:after="0"/>
        <w:rPr>
          <w:sz w:val="20"/>
          <w:szCs w:val="20"/>
          <w:color w:val="auto"/>
        </w:rPr>
      </w:pPr>
      <w:r>
        <w:rPr>
          <w:rFonts w:ascii="Arial" w:cs="Arial" w:eastAsia="Arial" w:hAnsi="Arial"/>
          <w:sz w:val="36"/>
          <w:szCs w:val="36"/>
          <w:b w:val="1"/>
          <w:bCs w:val="1"/>
          <w:color w:val="auto"/>
        </w:rPr>
        <w:t>ALBANY INTERNATIONAL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939165</wp:posOffset>
            </wp:positionH>
            <wp:positionV relativeFrom="paragraph">
              <wp:posOffset>26670</wp:posOffset>
            </wp:positionV>
            <wp:extent cx="52717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71770" cy="8255"/>
                    </a:xfrm>
                    <a:prstGeom prst="rect">
                      <a:avLst/>
                    </a:prstGeom>
                    <a:noFill/>
                  </pic:spPr>
                </pic:pic>
              </a:graphicData>
            </a:graphic>
          </wp:anchor>
        </w:drawing>
      </w:r>
    </w:p>
    <w:p>
      <w:pPr>
        <w:spacing w:after="0" w:line="48"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32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1805305</wp:posOffset>
            </wp:positionH>
            <wp:positionV relativeFrom="paragraph">
              <wp:posOffset>34925</wp:posOffset>
            </wp:positionV>
            <wp:extent cx="35318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5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(State or other jurisdiction of incorporation or organization)</w:t>
      </w:r>
    </w:p>
    <w:p>
      <w:pPr>
        <w:spacing w:after="0" w:line="36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325 Corporate Drive, Portsmouth, New Hampshire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1805305</wp:posOffset>
            </wp:positionH>
            <wp:positionV relativeFrom="paragraph">
              <wp:posOffset>34925</wp:posOffset>
            </wp:positionV>
            <wp:extent cx="35318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5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(Address of principal executive offices)</w:t>
      </w:r>
    </w:p>
    <w:p>
      <w:pPr>
        <w:spacing w:after="0" w:line="37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14-0462060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1805305</wp:posOffset>
            </wp:positionH>
            <wp:positionV relativeFrom="paragraph">
              <wp:posOffset>34925</wp:posOffset>
            </wp:positionV>
            <wp:extent cx="35318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5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(IRS Employer Identification No.)</w:t>
      </w:r>
    </w:p>
    <w:p>
      <w:pPr>
        <w:spacing w:after="0" w:line="37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03801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1805305</wp:posOffset>
            </wp:positionH>
            <wp:positionV relativeFrom="paragraph">
              <wp:posOffset>34925</wp:posOffset>
            </wp:positionV>
            <wp:extent cx="35318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5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(Zip Code)</w:t>
      </w:r>
    </w:p>
    <w:p>
      <w:pPr>
        <w:spacing w:after="0" w:line="36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603-330-5800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34925</wp:posOffset>
            </wp:positionV>
            <wp:extent cx="3282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4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104" w:lineRule="exact"/>
        <w:rPr>
          <w:sz w:val="24"/>
          <w:szCs w:val="24"/>
          <w:color w:val="auto"/>
        </w:rPr>
      </w:pPr>
    </w:p>
    <w:p>
      <w:pPr>
        <w:jc w:val="center"/>
        <w:ind w:right="20"/>
        <w:spacing w:after="0"/>
        <w:rPr>
          <w:sz w:val="20"/>
          <w:szCs w:val="20"/>
          <w:color w:val="auto"/>
        </w:rPr>
      </w:pPr>
      <w:r>
        <w:rPr>
          <w:rFonts w:ascii="Arial" w:cs="Arial" w:eastAsia="Arial" w:hAnsi="Arial"/>
          <w:sz w:val="18"/>
          <w:szCs w:val="18"/>
          <w:u w:val="single" w:color="auto"/>
          <w:color w:val="auto"/>
        </w:rPr>
        <w:t>Securities registered pursuant to Section 12(b) of the Act:</w:t>
      </w:r>
    </w:p>
    <w:p>
      <w:pPr>
        <w:spacing w:after="0" w:line="89" w:lineRule="exact"/>
        <w:rPr>
          <w:sz w:val="24"/>
          <w:szCs w:val="24"/>
          <w:color w:val="auto"/>
        </w:rPr>
      </w:pPr>
    </w:p>
    <w:tbl>
      <w:tblPr>
        <w:tblLayout w:type="fixed"/>
        <w:tblInd w:w="10" w:type="dxa"/>
        <w:tblCellMar>
          <w:top w:w="0" w:type="dxa"/>
          <w:left w:w="0" w:type="dxa"/>
          <w:bottom w:w="0" w:type="dxa"/>
          <w:right w:w="0" w:type="dxa"/>
        </w:tblCellMar>
      </w:tblPr>
      <w:tr>
        <w:trPr>
          <w:trHeight w:val="229"/>
        </w:trPr>
        <w:tc>
          <w:tcPr>
            <w:tcW w:w="4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Trading Symbol(s)</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09"/>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Class A Common Stock, $0.001 par value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AIN</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The New York Stock Exchange (NYSE)</w:t>
            </w:r>
          </w:p>
        </w:tc>
      </w:tr>
    </w:tbl>
    <w:p>
      <w:pPr>
        <w:spacing w:after="0" w:line="80" w:lineRule="exact"/>
        <w:rPr>
          <w:sz w:val="24"/>
          <w:szCs w:val="24"/>
          <w:color w:val="auto"/>
        </w:rPr>
      </w:pPr>
    </w:p>
    <w:p>
      <w:pPr>
        <w:jc w:val="both"/>
        <w:ind w:right="2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 w:lineRule="exact"/>
        <w:rPr>
          <w:sz w:val="24"/>
          <w:szCs w:val="24"/>
          <w:color w:val="auto"/>
        </w:rPr>
      </w:pPr>
    </w:p>
    <w:p>
      <w:pPr>
        <w:jc w:val="both"/>
        <w:ind w:right="20"/>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 w:lineRule="exact"/>
        <w:rPr>
          <w:sz w:val="24"/>
          <w:szCs w:val="24"/>
          <w:color w:val="auto"/>
        </w:rPr>
      </w:pPr>
    </w:p>
    <w:p>
      <w:pPr>
        <w:jc w:val="both"/>
        <w:ind w:right="2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46"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19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8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420"/>
              <w:spacing w:after="0"/>
              <w:rPr>
                <w:sz w:val="20"/>
                <w:szCs w:val="20"/>
                <w:color w:val="auto"/>
              </w:rPr>
            </w:pPr>
            <w:r>
              <w:rPr>
                <w:rFonts w:ascii="Arial" w:cs="Arial" w:eastAsia="Arial" w:hAnsi="Arial"/>
                <w:sz w:val="16"/>
                <w:szCs w:val="16"/>
                <w:color w:val="auto"/>
              </w:rPr>
              <w:t>Accelerated filer</w:t>
            </w:r>
          </w:p>
        </w:tc>
        <w:tc>
          <w:tcPr>
            <w:tcW w:w="9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1900" w:type="dxa"/>
            <w:vAlign w:val="bottom"/>
          </w:tcPr>
          <w:p>
            <w:pPr>
              <w:spacing w:after="0"/>
              <w:rPr>
                <w:sz w:val="20"/>
                <w:szCs w:val="20"/>
                <w:color w:val="auto"/>
              </w:rPr>
            </w:pPr>
            <w:r>
              <w:rPr>
                <w:rFonts w:ascii="Arial" w:cs="Arial" w:eastAsia="Arial" w:hAnsi="Arial"/>
                <w:sz w:val="16"/>
                <w:szCs w:val="16"/>
                <w:color w:val="auto"/>
              </w:rPr>
              <w:t>Non-accelerated filer</w:t>
            </w:r>
          </w:p>
        </w:tc>
        <w:tc>
          <w:tcPr>
            <w:tcW w:w="28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420"/>
              <w:spacing w:after="0"/>
              <w:rPr>
                <w:sz w:val="20"/>
                <w:szCs w:val="20"/>
                <w:color w:val="auto"/>
              </w:rPr>
            </w:pPr>
            <w:r>
              <w:rPr>
                <w:rFonts w:ascii="Arial" w:cs="Arial" w:eastAsia="Arial" w:hAnsi="Arial"/>
                <w:sz w:val="16"/>
                <w:szCs w:val="16"/>
                <w:color w:val="auto"/>
              </w:rPr>
              <w:t>Smaller reporting company</w:t>
            </w:r>
          </w:p>
        </w:tc>
        <w:tc>
          <w:tcPr>
            <w:tcW w:w="9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19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5140" w:type="dxa"/>
            <w:vAlign w:val="bottom"/>
          </w:tcPr>
          <w:p>
            <w:pPr>
              <w:ind w:left="2420"/>
              <w:spacing w:after="0"/>
              <w:rPr>
                <w:sz w:val="20"/>
                <w:szCs w:val="20"/>
                <w:color w:val="auto"/>
              </w:rPr>
            </w:pPr>
            <w:r>
              <w:rPr>
                <w:rFonts w:ascii="Arial" w:cs="Arial" w:eastAsia="Arial" w:hAnsi="Arial"/>
                <w:sz w:val="16"/>
                <w:szCs w:val="16"/>
                <w:color w:val="auto"/>
              </w:rPr>
              <w:t>Emerging growth company</w:t>
            </w:r>
          </w:p>
        </w:tc>
        <w:tc>
          <w:tcPr>
            <w:tcW w:w="9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6" w:lineRule="exact"/>
        <w:rPr>
          <w:sz w:val="24"/>
          <w:szCs w:val="24"/>
          <w:color w:val="auto"/>
        </w:rPr>
      </w:pPr>
    </w:p>
    <w:p>
      <w:pPr>
        <w:ind w:right="40"/>
        <w:spacing w:after="0" w:line="231" w:lineRule="exact"/>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7"/>
          <w:szCs w:val="17"/>
          <w:color w:val="auto"/>
        </w:rPr>
        <w:t>.</w:t>
      </w:r>
      <w:r>
        <w:rPr>
          <w:rFonts w:ascii="Arial" w:cs="Arial" w:eastAsia="Arial" w:hAnsi="Arial"/>
          <w:sz w:val="16"/>
          <w:szCs w:val="16"/>
          <w:color w:val="auto"/>
        </w:rPr>
        <w:t xml:space="preserve"> </w:t>
      </w:r>
      <w:r>
        <w:rPr>
          <w:rFonts w:ascii="MS PGothic" w:cs="MS PGothic" w:eastAsia="MS PGothic" w:hAnsi="MS PGothic"/>
          <w:sz w:val="17"/>
          <w:szCs w:val="17"/>
          <w:color w:val="auto"/>
        </w:rPr>
        <w:t>☐</w:t>
      </w:r>
    </w:p>
    <w:p>
      <w:pPr>
        <w:spacing w:after="0" w:line="1" w:lineRule="exact"/>
        <w:rPr>
          <w:sz w:val="24"/>
          <w:szCs w:val="24"/>
          <w:color w:val="auto"/>
        </w:rPr>
      </w:pPr>
    </w:p>
    <w:p>
      <w:pPr>
        <w:ind w:right="2220"/>
        <w:spacing w:after="0" w:line="235"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registrant had 28.4 million shares of Class A Common Stock outstanding as of October 15,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742950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700" w:type="dxa"/>
            <w:vAlign w:val="bottom"/>
            <w:gridSpan w:val="4"/>
          </w:tcPr>
          <w:p>
            <w:pPr>
              <w:jc w:val="center"/>
              <w:ind w:right="60"/>
              <w:spacing w:after="0"/>
              <w:rPr>
                <w:sz w:val="20"/>
                <w:szCs w:val="20"/>
                <w:color w:val="auto"/>
              </w:rPr>
            </w:pPr>
            <w:r>
              <w:rPr>
                <w:rFonts w:ascii="Arial" w:cs="Arial" w:eastAsia="Arial" w:hAnsi="Arial"/>
                <w:sz w:val="16"/>
                <w:szCs w:val="16"/>
                <w:b w:val="1"/>
                <w:bCs w:val="1"/>
                <w:color w:val="auto"/>
              </w:rPr>
              <w:t>Page</w:t>
            </w:r>
          </w:p>
        </w:tc>
      </w:tr>
      <w:tr>
        <w:trPr>
          <w:trHeight w:val="223"/>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700" w:type="dxa"/>
            <w:vAlign w:val="bottom"/>
            <w:gridSpan w:val="4"/>
          </w:tcPr>
          <w:p>
            <w:pPr>
              <w:jc w:val="center"/>
              <w:ind w:right="40"/>
              <w:spacing w:after="0"/>
              <w:rPr>
                <w:sz w:val="20"/>
                <w:szCs w:val="20"/>
                <w:color w:val="auto"/>
              </w:rPr>
            </w:pPr>
            <w:r>
              <w:rPr>
                <w:rFonts w:ascii="Arial" w:cs="Arial" w:eastAsia="Arial" w:hAnsi="Arial"/>
                <w:sz w:val="16"/>
                <w:szCs w:val="16"/>
                <w:b w:val="1"/>
                <w:bCs w:val="1"/>
                <w:color w:val="auto"/>
              </w:rPr>
              <w:t>No.</w:t>
            </w:r>
          </w:p>
        </w:tc>
      </w:tr>
      <w:tr>
        <w:trPr>
          <w:trHeight w:val="21"/>
        </w:trPr>
        <w:tc>
          <w:tcPr>
            <w:tcW w:w="20" w:type="dxa"/>
            <w:vAlign w:val="bottom"/>
            <w:tcBorders>
              <w:bottom w:val="single" w:sz="8" w:color="B2B2B2"/>
            </w:tcBorders>
          </w:tcPr>
          <w:p>
            <w:pPr>
              <w:spacing w:after="0" w:line="20" w:lineRule="exact"/>
              <w:rPr>
                <w:sz w:val="1"/>
                <w:szCs w:val="1"/>
                <w:color w:val="auto"/>
              </w:rPr>
            </w:pPr>
          </w:p>
        </w:tc>
        <w:tc>
          <w:tcPr>
            <w:tcW w:w="50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60" w:type="dxa"/>
            <w:vAlign w:val="bottom"/>
            <w:tcBorders>
              <w:bottom w:val="single" w:sz="8" w:color="B2B2B2"/>
            </w:tcBorders>
            <w:gridSpan w:val="2"/>
          </w:tcPr>
          <w:p>
            <w:pPr>
              <w:spacing w:after="0" w:line="20" w:lineRule="exact"/>
              <w:rPr>
                <w:sz w:val="1"/>
                <w:szCs w:val="1"/>
                <w:color w:val="auto"/>
              </w:rPr>
            </w:pPr>
          </w:p>
        </w:tc>
        <w:tc>
          <w:tcPr>
            <w:tcW w:w="560" w:type="dxa"/>
            <w:vAlign w:val="bottom"/>
            <w:tcBorders>
              <w:bottom w:val="single" w:sz="8" w:color="B2B2B2"/>
            </w:tcBorders>
          </w:tcPr>
          <w:p>
            <w:pPr>
              <w:spacing w:after="0" w:line="20" w:lineRule="exact"/>
              <w:rPr>
                <w:sz w:val="1"/>
                <w:szCs w:val="1"/>
                <w:color w:val="auto"/>
              </w:rPr>
            </w:pPr>
          </w:p>
        </w:tc>
        <w:tc>
          <w:tcPr>
            <w:tcW w:w="340" w:type="dxa"/>
            <w:vAlign w:val="bottom"/>
            <w:tcBorders>
              <w:bottom w:val="single" w:sz="8" w:color="B2B2B2"/>
            </w:tcBorders>
          </w:tcPr>
          <w:p>
            <w:pPr>
              <w:spacing w:after="0" w:line="20" w:lineRule="exact"/>
              <w:rPr>
                <w:sz w:val="1"/>
                <w:szCs w:val="1"/>
                <w:color w:val="auto"/>
              </w:rPr>
            </w:pPr>
          </w:p>
        </w:tc>
        <w:tc>
          <w:tcPr>
            <w:tcW w:w="36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160" w:type="dxa"/>
            <w:vAlign w:val="bottom"/>
            <w:tcBorders>
              <w:bottom w:val="single" w:sz="8" w:color="B2B2B2"/>
            </w:tcBorders>
          </w:tcPr>
          <w:p>
            <w:pPr>
              <w:spacing w:after="0" w:line="20" w:lineRule="exact"/>
              <w:rPr>
                <w:sz w:val="1"/>
                <w:szCs w:val="1"/>
                <w:color w:val="auto"/>
              </w:rPr>
            </w:pPr>
          </w:p>
        </w:tc>
        <w:tc>
          <w:tcPr>
            <w:tcW w:w="240" w:type="dxa"/>
            <w:vAlign w:val="bottom"/>
            <w:tcBorders>
              <w:bottom w:val="single" w:sz="8" w:color="B2B2B2"/>
            </w:tcBorders>
          </w:tcPr>
          <w:p>
            <w:pPr>
              <w:spacing w:after="0" w:line="20" w:lineRule="exact"/>
              <w:rPr>
                <w:sz w:val="1"/>
                <w:szCs w:val="1"/>
                <w:color w:val="auto"/>
              </w:rPr>
            </w:pPr>
          </w:p>
        </w:tc>
        <w:tc>
          <w:tcPr>
            <w:tcW w:w="40" w:type="dxa"/>
            <w:vAlign w:val="bottom"/>
            <w:tcBorders>
              <w:bottom w:val="single" w:sz="8" w:color="B2B2B2"/>
            </w:tcBorders>
          </w:tcPr>
          <w:p>
            <w:pPr>
              <w:spacing w:after="0" w:line="20" w:lineRule="exact"/>
              <w:rPr>
                <w:sz w:val="1"/>
                <w:szCs w:val="1"/>
                <w:color w:val="auto"/>
              </w:rPr>
            </w:pPr>
          </w:p>
        </w:tc>
        <w:tc>
          <w:tcPr>
            <w:tcW w:w="220" w:type="dxa"/>
            <w:vAlign w:val="bottom"/>
            <w:tcBorders>
              <w:bottom w:val="single" w:sz="8" w:color="B2B2B2"/>
            </w:tcBorders>
          </w:tcPr>
          <w:p>
            <w:pPr>
              <w:spacing w:after="0" w:line="20" w:lineRule="exact"/>
              <w:rPr>
                <w:sz w:val="1"/>
                <w:szCs w:val="1"/>
                <w:color w:val="auto"/>
              </w:rPr>
            </w:pPr>
          </w:p>
        </w:tc>
        <w:tc>
          <w:tcPr>
            <w:tcW w:w="260" w:type="dxa"/>
            <w:vAlign w:val="bottom"/>
            <w:tcBorders>
              <w:bottom w:val="single" w:sz="8" w:color="B2B2B2"/>
            </w:tcBorders>
          </w:tcPr>
          <w:p>
            <w:pPr>
              <w:spacing w:after="0" w:line="20" w:lineRule="exact"/>
              <w:rPr>
                <w:sz w:val="1"/>
                <w:szCs w:val="1"/>
                <w:color w:val="auto"/>
              </w:rPr>
            </w:pPr>
          </w:p>
        </w:tc>
        <w:tc>
          <w:tcPr>
            <w:tcW w:w="26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240" w:type="dxa"/>
            <w:vAlign w:val="bottom"/>
            <w:tcBorders>
              <w:bottom w:val="single" w:sz="8" w:color="B2B2B2"/>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54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240" w:type="dxa"/>
            <w:vAlign w:val="bottom"/>
            <w:tcBorders>
              <w:bottom w:val="single" w:sz="8" w:color="B2B2B2"/>
            </w:tcBorders>
          </w:tcPr>
          <w:p>
            <w:pPr>
              <w:spacing w:after="0" w:line="20" w:lineRule="exact"/>
              <w:rPr>
                <w:sz w:val="1"/>
                <w:szCs w:val="1"/>
                <w:color w:val="auto"/>
              </w:rPr>
            </w:pPr>
          </w:p>
        </w:tc>
        <w:tc>
          <w:tcPr>
            <w:tcW w:w="120" w:type="dxa"/>
            <w:vAlign w:val="bottom"/>
            <w:tcBorders>
              <w:bottom w:val="single" w:sz="8" w:color="B2B2B2"/>
            </w:tcBorders>
          </w:tcPr>
          <w:p>
            <w:pPr>
              <w:spacing w:after="0" w:line="20" w:lineRule="exact"/>
              <w:rPr>
                <w:sz w:val="1"/>
                <w:szCs w:val="1"/>
                <w:color w:val="auto"/>
              </w:rPr>
            </w:pPr>
          </w:p>
        </w:tc>
        <w:tc>
          <w:tcPr>
            <w:tcW w:w="20" w:type="dxa"/>
            <w:vAlign w:val="bottom"/>
            <w:tcBorders>
              <w:bottom w:val="single" w:sz="8" w:color="B2B2B2"/>
            </w:tcBorders>
          </w:tcPr>
          <w:p>
            <w:pPr>
              <w:spacing w:after="0" w:line="20" w:lineRule="exact"/>
              <w:rPr>
                <w:sz w:val="1"/>
                <w:szCs w:val="1"/>
                <w:color w:val="auto"/>
              </w:rPr>
            </w:pPr>
          </w:p>
        </w:tc>
        <w:tc>
          <w:tcPr>
            <w:tcW w:w="500" w:type="dxa"/>
            <w:vAlign w:val="bottom"/>
            <w:tcBorders>
              <w:bottom w:val="single" w:sz="8" w:color="B2B2B2"/>
            </w:tcBorders>
          </w:tcPr>
          <w:p>
            <w:pPr>
              <w:spacing w:after="0" w:line="20" w:lineRule="exact"/>
              <w:rPr>
                <w:sz w:val="1"/>
                <w:szCs w:val="1"/>
                <w:color w:val="auto"/>
              </w:rPr>
            </w:pPr>
          </w:p>
        </w:tc>
        <w:tc>
          <w:tcPr>
            <w:tcW w:w="80" w:type="dxa"/>
            <w:vAlign w:val="bottom"/>
            <w:tcBorders>
              <w:bottom w:val="single" w:sz="8" w:color="B2B2B2"/>
            </w:tcBorders>
          </w:tcPr>
          <w:p>
            <w:pPr>
              <w:spacing w:after="0" w:line="20" w:lineRule="exact"/>
              <w:rPr>
                <w:sz w:val="1"/>
                <w:szCs w:val="1"/>
                <w:color w:val="auto"/>
              </w:rPr>
            </w:pPr>
          </w:p>
        </w:tc>
        <w:tc>
          <w:tcPr>
            <w:tcW w:w="900" w:type="dxa"/>
            <w:vAlign w:val="bottom"/>
            <w:tcBorders>
              <w:bottom w:val="single" w:sz="8" w:color="B2B2B2"/>
            </w:tcBorders>
          </w:tcPr>
          <w:p>
            <w:pPr>
              <w:spacing w:after="0" w:line="20" w:lineRule="exact"/>
              <w:rPr>
                <w:sz w:val="1"/>
                <w:szCs w:val="1"/>
                <w:color w:val="auto"/>
              </w:rPr>
            </w:pPr>
          </w:p>
        </w:tc>
        <w:tc>
          <w:tcPr>
            <w:tcW w:w="160" w:type="dxa"/>
            <w:vAlign w:val="bottom"/>
            <w:tcBorders>
              <w:bottom w:val="single" w:sz="8" w:color="B2B2B2"/>
            </w:tcBorders>
          </w:tcPr>
          <w:p>
            <w:pPr>
              <w:spacing w:after="0" w:line="20" w:lineRule="exact"/>
              <w:rPr>
                <w:sz w:val="1"/>
                <w:szCs w:val="1"/>
                <w:color w:val="auto"/>
              </w:rPr>
            </w:pPr>
          </w:p>
        </w:tc>
        <w:tc>
          <w:tcPr>
            <w:tcW w:w="200" w:type="dxa"/>
            <w:vAlign w:val="bottom"/>
            <w:tcBorders>
              <w:bottom w:val="single" w:sz="8" w:color="B2B2B2"/>
            </w:tcBorders>
          </w:tcPr>
          <w:p>
            <w:pPr>
              <w:spacing w:after="0" w:line="20" w:lineRule="exact"/>
              <w:rPr>
                <w:sz w:val="1"/>
                <w:szCs w:val="1"/>
                <w:color w:val="auto"/>
              </w:rPr>
            </w:pPr>
          </w:p>
        </w:tc>
        <w:tc>
          <w:tcPr>
            <w:tcW w:w="120" w:type="dxa"/>
            <w:vAlign w:val="bottom"/>
            <w:tcBorders>
              <w:bottom w:val="single" w:sz="8" w:color="B2B2B2"/>
            </w:tcBorders>
          </w:tcPr>
          <w:p>
            <w:pPr>
              <w:spacing w:after="0" w:line="20" w:lineRule="exact"/>
              <w:rPr>
                <w:sz w:val="1"/>
                <w:szCs w:val="1"/>
                <w:color w:val="auto"/>
              </w:rPr>
            </w:pPr>
          </w:p>
        </w:tc>
        <w:tc>
          <w:tcPr>
            <w:tcW w:w="40" w:type="dxa"/>
            <w:vAlign w:val="bottom"/>
            <w:tcBorders>
              <w:bottom w:val="single" w:sz="8" w:color="B2B2B2"/>
            </w:tcBorders>
          </w:tcPr>
          <w:p>
            <w:pPr>
              <w:spacing w:after="0" w:line="20" w:lineRule="exact"/>
              <w:rPr>
                <w:sz w:val="1"/>
                <w:szCs w:val="1"/>
                <w:color w:val="auto"/>
              </w:rPr>
            </w:pPr>
          </w:p>
        </w:tc>
        <w:tc>
          <w:tcPr>
            <w:tcW w:w="320" w:type="dxa"/>
            <w:vAlign w:val="bottom"/>
            <w:tcBorders>
              <w:bottom w:val="single" w:sz="8" w:color="B2B2B2"/>
            </w:tcBorders>
          </w:tcPr>
          <w:p>
            <w:pPr>
              <w:spacing w:after="0" w:line="20" w:lineRule="exact"/>
              <w:rPr>
                <w:sz w:val="1"/>
                <w:szCs w:val="1"/>
                <w:color w:val="auto"/>
              </w:rPr>
            </w:pPr>
          </w:p>
        </w:tc>
        <w:tc>
          <w:tcPr>
            <w:tcW w:w="800" w:type="dxa"/>
            <w:vAlign w:val="bottom"/>
            <w:tcBorders>
              <w:bottom w:val="single" w:sz="8" w:color="B2B2B2"/>
            </w:tcBorders>
          </w:tcPr>
          <w:p>
            <w:pPr>
              <w:spacing w:after="0" w:line="20" w:lineRule="exact"/>
              <w:rPr>
                <w:sz w:val="1"/>
                <w:szCs w:val="1"/>
                <w:color w:val="auto"/>
              </w:rPr>
            </w:pPr>
          </w:p>
        </w:tc>
        <w:tc>
          <w:tcPr>
            <w:tcW w:w="360" w:type="dxa"/>
            <w:vAlign w:val="bottom"/>
            <w:tcBorders>
              <w:bottom w:val="single" w:sz="8" w:color="B2B2B2"/>
            </w:tcBorders>
          </w:tcPr>
          <w:p>
            <w:pPr>
              <w:spacing w:after="0" w:line="20" w:lineRule="exact"/>
              <w:rPr>
                <w:sz w:val="1"/>
                <w:szCs w:val="1"/>
                <w:color w:val="auto"/>
              </w:rPr>
            </w:pPr>
          </w:p>
        </w:tc>
        <w:tc>
          <w:tcPr>
            <w:tcW w:w="1820" w:type="dxa"/>
            <w:vAlign w:val="bottom"/>
            <w:tcBorders>
              <w:bottom w:val="single" w:sz="8" w:color="B2B2B2"/>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20" w:type="dxa"/>
            <w:vAlign w:val="bottom"/>
            <w:shd w:val="clear" w:color="auto" w:fill="B2B2B2"/>
          </w:tcPr>
          <w:p>
            <w:pPr>
              <w:spacing w:after="0"/>
              <w:rPr>
                <w:sz w:val="19"/>
                <w:szCs w:val="19"/>
                <w:color w:val="auto"/>
              </w:rPr>
            </w:pPr>
          </w:p>
        </w:tc>
        <w:tc>
          <w:tcPr>
            <w:tcW w:w="10520" w:type="dxa"/>
            <w:vAlign w:val="bottom"/>
            <w:gridSpan w:val="35"/>
            <w:shd w:val="clear" w:color="auto" w:fill="B2B2B2"/>
          </w:tcPr>
          <w:p>
            <w:pPr>
              <w:spacing w:after="0"/>
              <w:rPr>
                <w:sz w:val="20"/>
                <w:szCs w:val="20"/>
                <w:color w:val="auto"/>
              </w:rPr>
            </w:pPr>
            <w:r>
              <w:rPr>
                <w:rFonts w:ascii="Arial" w:cs="Arial" w:eastAsia="Arial" w:hAnsi="Arial"/>
                <w:sz w:val="16"/>
                <w:szCs w:val="16"/>
                <w:b w:val="1"/>
                <w:bCs w:val="1"/>
                <w:color w:val="0000FF"/>
              </w:rPr>
              <w:t>Part I Financial information</w:t>
            </w:r>
          </w:p>
        </w:tc>
        <w:tc>
          <w:tcPr>
            <w:tcW w:w="440" w:type="dxa"/>
            <w:vAlign w:val="bottom"/>
            <w:shd w:val="clear" w:color="auto" w:fill="B2B2B2"/>
          </w:tcPr>
          <w:p>
            <w:pPr>
              <w:spacing w:after="0"/>
              <w:rPr>
                <w:sz w:val="19"/>
                <w:szCs w:val="19"/>
                <w:color w:val="auto"/>
              </w:rPr>
            </w:pPr>
          </w:p>
        </w:tc>
        <w:tc>
          <w:tcPr>
            <w:tcW w:w="100" w:type="dxa"/>
            <w:vAlign w:val="bottom"/>
            <w:shd w:val="clear" w:color="auto" w:fill="B2B2B2"/>
          </w:tcPr>
          <w:p>
            <w:pPr>
              <w:spacing w:after="0"/>
              <w:rPr>
                <w:sz w:val="19"/>
                <w:szCs w:val="19"/>
                <w:color w:val="auto"/>
              </w:rPr>
            </w:pPr>
          </w:p>
        </w:tc>
        <w:tc>
          <w:tcPr>
            <w:tcW w:w="100" w:type="dxa"/>
            <w:vAlign w:val="bottom"/>
            <w:tcBorders>
              <w:right w:val="single" w:sz="8" w:color="B2B2B2"/>
            </w:tcBorders>
            <w:shd w:val="clear" w:color="auto" w:fill="B2B2B2"/>
          </w:tcPr>
          <w:p>
            <w:pPr>
              <w:spacing w:after="0"/>
              <w:rPr>
                <w:sz w:val="19"/>
                <w:szCs w:val="19"/>
                <w:color w:val="auto"/>
              </w:rPr>
            </w:pPr>
          </w:p>
        </w:tc>
        <w:tc>
          <w:tcPr>
            <w:tcW w:w="60" w:type="dxa"/>
            <w:vAlign w:val="bottom"/>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0000FF"/>
              </w:rPr>
              <w:t>Item 1.</w:t>
            </w:r>
          </w:p>
        </w:tc>
        <w:tc>
          <w:tcPr>
            <w:tcW w:w="9780" w:type="dxa"/>
            <w:vAlign w:val="bottom"/>
            <w:gridSpan w:val="32"/>
          </w:tcPr>
          <w:p>
            <w:pPr>
              <w:ind w:left="120"/>
              <w:spacing w:after="0"/>
              <w:rPr>
                <w:sz w:val="20"/>
                <w:szCs w:val="20"/>
                <w:color w:val="auto"/>
              </w:rPr>
            </w:pPr>
            <w:r>
              <w:rPr>
                <w:rFonts w:ascii="Arial" w:cs="Arial" w:eastAsia="Arial" w:hAnsi="Arial"/>
                <w:sz w:val="16"/>
                <w:szCs w:val="16"/>
                <w:color w:val="0000FF"/>
              </w:rPr>
              <w:t>Financial Statements</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0" w:type="dxa"/>
            <w:vAlign w:val="bottom"/>
            <w:shd w:val="clear" w:color="auto" w:fill="B2B2B2"/>
          </w:tcPr>
          <w:p>
            <w:pPr>
              <w:spacing w:after="0"/>
              <w:rPr>
                <w:sz w:val="16"/>
                <w:szCs w:val="16"/>
                <w:color w:val="auto"/>
              </w:rPr>
            </w:pPr>
          </w:p>
        </w:tc>
        <w:tc>
          <w:tcPr>
            <w:tcW w:w="500" w:type="dxa"/>
            <w:vAlign w:val="bottom"/>
            <w:shd w:val="clear" w:color="auto" w:fill="B2B2B2"/>
          </w:tcPr>
          <w:p>
            <w:pPr>
              <w:spacing w:after="0"/>
              <w:rPr>
                <w:sz w:val="16"/>
                <w:szCs w:val="16"/>
                <w:color w:val="auto"/>
              </w:rPr>
            </w:pPr>
          </w:p>
        </w:tc>
        <w:tc>
          <w:tcPr>
            <w:tcW w:w="100" w:type="dxa"/>
            <w:vAlign w:val="bottom"/>
            <w:shd w:val="clear" w:color="auto" w:fill="B2B2B2"/>
          </w:tcPr>
          <w:p>
            <w:pPr>
              <w:spacing w:after="0"/>
              <w:rPr>
                <w:sz w:val="16"/>
                <w:szCs w:val="16"/>
                <w:color w:val="auto"/>
              </w:rPr>
            </w:pPr>
          </w:p>
        </w:tc>
        <w:tc>
          <w:tcPr>
            <w:tcW w:w="140" w:type="dxa"/>
            <w:vAlign w:val="bottom"/>
            <w:shd w:val="clear" w:color="auto" w:fill="B2B2B2"/>
          </w:tcPr>
          <w:p>
            <w:pPr>
              <w:spacing w:after="0"/>
              <w:rPr>
                <w:sz w:val="16"/>
                <w:szCs w:val="16"/>
                <w:color w:val="auto"/>
              </w:rPr>
            </w:pPr>
          </w:p>
        </w:tc>
        <w:tc>
          <w:tcPr>
            <w:tcW w:w="9780" w:type="dxa"/>
            <w:vAlign w:val="bottom"/>
            <w:gridSpan w:val="32"/>
            <w:shd w:val="clear" w:color="auto" w:fill="B2B2B2"/>
          </w:tcPr>
          <w:p>
            <w:pPr>
              <w:ind w:left="120"/>
              <w:spacing w:after="0"/>
              <w:rPr>
                <w:sz w:val="20"/>
                <w:szCs w:val="20"/>
                <w:color w:val="auto"/>
              </w:rPr>
            </w:pPr>
            <w:r>
              <w:rPr>
                <w:rFonts w:ascii="Arial" w:cs="Arial" w:eastAsia="Arial" w:hAnsi="Arial"/>
                <w:sz w:val="16"/>
                <w:szCs w:val="16"/>
                <w:color w:val="0000FF"/>
              </w:rPr>
              <w:t xml:space="preserve">Consolidated statements of income – </w:t>
            </w:r>
            <w:r>
              <w:rPr>
                <w:rFonts w:ascii="Arial" w:cs="Arial" w:eastAsia="Arial" w:hAnsi="Arial"/>
                <w:sz w:val="16"/>
                <w:szCs w:val="16"/>
                <w:color w:val="000000"/>
              </w:rPr>
              <w:t>three and nine</w:t>
            </w:r>
            <w:r>
              <w:rPr>
                <w:rFonts w:ascii="Arial" w:cs="Arial" w:eastAsia="Arial" w:hAnsi="Arial"/>
                <w:sz w:val="16"/>
                <w:szCs w:val="16"/>
                <w:color w:val="0000FF"/>
              </w:rPr>
              <w:t xml:space="preserve"> months ended </w:t>
            </w:r>
            <w:r>
              <w:rPr>
                <w:rFonts w:ascii="Arial" w:cs="Arial" w:eastAsia="Arial" w:hAnsi="Arial"/>
                <w:sz w:val="16"/>
                <w:szCs w:val="16"/>
                <w:color w:val="000000"/>
              </w:rPr>
              <w:t>September 30, 2026</w:t>
            </w:r>
            <w:r>
              <w:rPr>
                <w:rFonts w:ascii="Arial" w:cs="Arial" w:eastAsia="Arial" w:hAnsi="Arial"/>
                <w:sz w:val="16"/>
                <w:szCs w:val="16"/>
                <w:color w:val="0000FF"/>
              </w:rPr>
              <w:t xml:space="preserve"> and </w:t>
            </w:r>
            <w:r>
              <w:rPr>
                <w:rFonts w:ascii="Arial" w:cs="Arial" w:eastAsia="Arial" w:hAnsi="Arial"/>
                <w:sz w:val="16"/>
                <w:szCs w:val="16"/>
                <w:color w:val="000000"/>
              </w:rPr>
              <w:t>2025</w:t>
            </w:r>
          </w:p>
        </w:tc>
        <w:tc>
          <w:tcPr>
            <w:tcW w:w="640" w:type="dxa"/>
            <w:vAlign w:val="bottom"/>
            <w:tcBorders>
              <w:right w:val="single" w:sz="8" w:color="B2B2B2"/>
            </w:tcBorders>
            <w:gridSpan w:val="3"/>
            <w:shd w:val="clear" w:color="auto" w:fill="B2B2B2"/>
          </w:tcPr>
          <w:p>
            <w:pPr>
              <w:jc w:val="right"/>
              <w:ind w:right="20"/>
              <w:spacing w:after="0"/>
              <w:rPr>
                <w:sz w:val="20"/>
                <w:szCs w:val="20"/>
                <w:color w:val="auto"/>
              </w:rPr>
            </w:pPr>
            <w:r>
              <w:rPr>
                <w:rFonts w:ascii="Arial" w:cs="Arial" w:eastAsia="Arial" w:hAnsi="Arial"/>
                <w:sz w:val="16"/>
                <w:szCs w:val="16"/>
                <w:color w:val="0000FF"/>
              </w:rPr>
              <w:t>1</w:t>
            </w:r>
          </w:p>
        </w:tc>
        <w:tc>
          <w:tcPr>
            <w:tcW w:w="60" w:type="dxa"/>
            <w:vAlign w:val="bottom"/>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18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54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0000FF"/>
            </w:tcBorders>
            <w:shd w:val="clear" w:color="auto" w:fill="B2B2B2"/>
          </w:tcPr>
          <w:p>
            <w:pPr>
              <w:spacing w:after="0"/>
              <w:rPr>
                <w:sz w:val="2"/>
                <w:szCs w:val="2"/>
                <w:color w:val="auto"/>
              </w:rPr>
            </w:pPr>
          </w:p>
        </w:tc>
        <w:tc>
          <w:tcPr>
            <w:tcW w:w="18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12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0000FF"/>
            </w:tcBorders>
            <w:shd w:val="clear" w:color="auto" w:fill="B2B2B2"/>
          </w:tcPr>
          <w:p>
            <w:pPr>
              <w:spacing w:after="0"/>
              <w:rPr>
                <w:sz w:val="2"/>
                <w:szCs w:val="2"/>
                <w:color w:val="auto"/>
              </w:rPr>
            </w:pPr>
          </w:p>
        </w:tc>
        <w:tc>
          <w:tcPr>
            <w:tcW w:w="50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900" w:type="dxa"/>
            <w:vAlign w:val="bottom"/>
            <w:tcBorders>
              <w:top w:val="single" w:sz="8" w:color="B2B2B2"/>
            </w:tcBorders>
            <w:shd w:val="clear" w:color="auto" w:fill="B2B2B2"/>
          </w:tcPr>
          <w:p>
            <w:pPr>
              <w:spacing w:after="0"/>
              <w:rPr>
                <w:sz w:val="2"/>
                <w:szCs w:val="2"/>
                <w:color w:val="auto"/>
              </w:rPr>
            </w:pPr>
          </w:p>
        </w:tc>
        <w:tc>
          <w:tcPr>
            <w:tcW w:w="16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320" w:type="dxa"/>
            <w:vAlign w:val="bottom"/>
            <w:tcBorders>
              <w:top w:val="single" w:sz="8" w:color="0000FF"/>
            </w:tcBorders>
            <w:shd w:val="clear" w:color="auto" w:fill="B2B2B2"/>
          </w:tcPr>
          <w:p>
            <w:pPr>
              <w:spacing w:after="0"/>
              <w:rPr>
                <w:sz w:val="2"/>
                <w:szCs w:val="2"/>
                <w:color w:val="auto"/>
              </w:rPr>
            </w:pPr>
          </w:p>
        </w:tc>
        <w:tc>
          <w:tcPr>
            <w:tcW w:w="80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82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0000FF"/>
              <w:right w:val="single" w:sz="8" w:color="B2B2B2"/>
            </w:tcBorders>
            <w:shd w:val="clear" w:color="auto" w:fill="B2B2B2"/>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780" w:type="dxa"/>
            <w:vAlign w:val="bottom"/>
            <w:gridSpan w:val="32"/>
          </w:tcPr>
          <w:p>
            <w:pPr>
              <w:ind w:left="120"/>
              <w:spacing w:after="0"/>
              <w:rPr>
                <w:sz w:val="20"/>
                <w:szCs w:val="20"/>
                <w:color w:val="auto"/>
              </w:rPr>
            </w:pPr>
            <w:r>
              <w:rPr>
                <w:rFonts w:ascii="Arial" w:cs="Arial" w:eastAsia="Arial" w:hAnsi="Arial"/>
                <w:sz w:val="16"/>
                <w:szCs w:val="16"/>
                <w:color w:val="0000FF"/>
              </w:rPr>
              <w:t xml:space="preserve">Consolidated statements of comprehensive income – </w:t>
            </w:r>
            <w:r>
              <w:rPr>
                <w:rFonts w:ascii="Arial" w:cs="Arial" w:eastAsia="Arial" w:hAnsi="Arial"/>
                <w:sz w:val="16"/>
                <w:szCs w:val="16"/>
                <w:color w:val="000000"/>
              </w:rPr>
              <w:t>three and nine</w:t>
            </w:r>
            <w:r>
              <w:rPr>
                <w:rFonts w:ascii="Arial" w:cs="Arial" w:eastAsia="Arial" w:hAnsi="Arial"/>
                <w:sz w:val="16"/>
                <w:szCs w:val="16"/>
                <w:color w:val="0000FF"/>
              </w:rPr>
              <w:t xml:space="preserve"> months ended </w:t>
            </w:r>
            <w:r>
              <w:rPr>
                <w:rFonts w:ascii="Arial" w:cs="Arial" w:eastAsia="Arial" w:hAnsi="Arial"/>
                <w:sz w:val="16"/>
                <w:szCs w:val="16"/>
                <w:color w:val="000000"/>
              </w:rPr>
              <w:t>September 30, 2026</w:t>
            </w:r>
            <w:r>
              <w:rPr>
                <w:rFonts w:ascii="Arial" w:cs="Arial" w:eastAsia="Arial" w:hAnsi="Arial"/>
                <w:sz w:val="16"/>
                <w:szCs w:val="16"/>
                <w:color w:val="0000FF"/>
              </w:rPr>
              <w:t xml:space="preserve"> and </w:t>
            </w:r>
            <w:r>
              <w:rPr>
                <w:rFonts w:ascii="Arial" w:cs="Arial" w:eastAsia="Arial" w:hAnsi="Arial"/>
                <w:sz w:val="16"/>
                <w:szCs w:val="16"/>
                <w:color w:val="000000"/>
              </w:rPr>
              <w:t>2025</w:t>
            </w:r>
          </w:p>
        </w:tc>
        <w:tc>
          <w:tcPr>
            <w:tcW w:w="640" w:type="dxa"/>
            <w:vAlign w:val="bottom"/>
            <w:gridSpan w:val="3"/>
          </w:tcPr>
          <w:p>
            <w:pPr>
              <w:jc w:val="right"/>
              <w:ind w:right="20"/>
              <w:spacing w:after="0"/>
              <w:rPr>
                <w:sz w:val="20"/>
                <w:szCs w:val="20"/>
                <w:color w:val="auto"/>
              </w:rPr>
            </w:pPr>
            <w:r>
              <w:rPr>
                <w:rFonts w:ascii="Arial" w:cs="Arial" w:eastAsia="Arial" w:hAnsi="Arial"/>
                <w:sz w:val="16"/>
                <w:szCs w:val="16"/>
                <w:color w:val="0000FF"/>
              </w:rPr>
              <w:t>2</w:t>
            </w:r>
          </w:p>
        </w:tc>
        <w:tc>
          <w:tcPr>
            <w:tcW w:w="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0" w:type="dxa"/>
            <w:vAlign w:val="bottom"/>
            <w:shd w:val="clear" w:color="auto" w:fill="B2B2B2"/>
          </w:tcPr>
          <w:p>
            <w:pPr>
              <w:spacing w:after="0"/>
              <w:rPr>
                <w:sz w:val="16"/>
                <w:szCs w:val="16"/>
                <w:color w:val="auto"/>
              </w:rPr>
            </w:pPr>
          </w:p>
        </w:tc>
        <w:tc>
          <w:tcPr>
            <w:tcW w:w="500" w:type="dxa"/>
            <w:vAlign w:val="bottom"/>
            <w:shd w:val="clear" w:color="auto" w:fill="B2B2B2"/>
          </w:tcPr>
          <w:p>
            <w:pPr>
              <w:spacing w:after="0"/>
              <w:rPr>
                <w:sz w:val="16"/>
                <w:szCs w:val="16"/>
                <w:color w:val="auto"/>
              </w:rPr>
            </w:pPr>
          </w:p>
        </w:tc>
        <w:tc>
          <w:tcPr>
            <w:tcW w:w="100" w:type="dxa"/>
            <w:vAlign w:val="bottom"/>
            <w:shd w:val="clear" w:color="auto" w:fill="B2B2B2"/>
          </w:tcPr>
          <w:p>
            <w:pPr>
              <w:spacing w:after="0"/>
              <w:rPr>
                <w:sz w:val="16"/>
                <w:szCs w:val="16"/>
                <w:color w:val="auto"/>
              </w:rPr>
            </w:pPr>
          </w:p>
        </w:tc>
        <w:tc>
          <w:tcPr>
            <w:tcW w:w="140" w:type="dxa"/>
            <w:vAlign w:val="bottom"/>
            <w:shd w:val="clear" w:color="auto" w:fill="B2B2B2"/>
          </w:tcPr>
          <w:p>
            <w:pPr>
              <w:spacing w:after="0"/>
              <w:rPr>
                <w:sz w:val="16"/>
                <w:szCs w:val="16"/>
                <w:color w:val="auto"/>
              </w:rPr>
            </w:pPr>
          </w:p>
        </w:tc>
        <w:tc>
          <w:tcPr>
            <w:tcW w:w="9780" w:type="dxa"/>
            <w:vAlign w:val="bottom"/>
            <w:gridSpan w:val="32"/>
            <w:shd w:val="clear" w:color="auto" w:fill="B2B2B2"/>
          </w:tcPr>
          <w:p>
            <w:pPr>
              <w:ind w:left="120"/>
              <w:spacing w:after="0"/>
              <w:rPr>
                <w:sz w:val="20"/>
                <w:szCs w:val="20"/>
                <w:color w:val="auto"/>
              </w:rPr>
            </w:pPr>
            <w:r>
              <w:rPr>
                <w:rFonts w:ascii="Arial" w:cs="Arial" w:eastAsia="Arial" w:hAnsi="Arial"/>
                <w:sz w:val="16"/>
                <w:szCs w:val="16"/>
                <w:color w:val="0000FF"/>
              </w:rPr>
              <w:t xml:space="preserve">Consolidated balance sheets as of </w:t>
            </w:r>
            <w:r>
              <w:rPr>
                <w:rFonts w:ascii="Arial" w:cs="Arial" w:eastAsia="Arial" w:hAnsi="Arial"/>
                <w:sz w:val="16"/>
                <w:szCs w:val="16"/>
                <w:color w:val="000000"/>
              </w:rPr>
              <w:t>September 30, 2026</w:t>
            </w:r>
            <w:r>
              <w:rPr>
                <w:rFonts w:ascii="Arial" w:cs="Arial" w:eastAsia="Arial" w:hAnsi="Arial"/>
                <w:sz w:val="16"/>
                <w:szCs w:val="16"/>
                <w:color w:val="0000FF"/>
              </w:rPr>
              <w:t xml:space="preserve"> and </w:t>
            </w:r>
            <w:r>
              <w:rPr>
                <w:rFonts w:ascii="Arial" w:cs="Arial" w:eastAsia="Arial" w:hAnsi="Arial"/>
                <w:sz w:val="16"/>
                <w:szCs w:val="16"/>
                <w:color w:val="000000"/>
              </w:rPr>
              <w:t>December 31, 2025</w:t>
            </w:r>
          </w:p>
        </w:tc>
        <w:tc>
          <w:tcPr>
            <w:tcW w:w="640" w:type="dxa"/>
            <w:vAlign w:val="bottom"/>
            <w:tcBorders>
              <w:right w:val="single" w:sz="8" w:color="B2B2B2"/>
            </w:tcBorders>
            <w:gridSpan w:val="3"/>
            <w:shd w:val="clear" w:color="auto" w:fill="B2B2B2"/>
          </w:tcPr>
          <w:p>
            <w:pPr>
              <w:jc w:val="right"/>
              <w:ind w:right="20"/>
              <w:spacing w:after="0"/>
              <w:rPr>
                <w:sz w:val="20"/>
                <w:szCs w:val="20"/>
                <w:color w:val="auto"/>
              </w:rPr>
            </w:pPr>
            <w:r>
              <w:rPr>
                <w:rFonts w:ascii="Arial" w:cs="Arial" w:eastAsia="Arial" w:hAnsi="Arial"/>
                <w:sz w:val="16"/>
                <w:szCs w:val="16"/>
                <w:color w:val="0000FF"/>
              </w:rPr>
              <w:t>3</w:t>
            </w:r>
          </w:p>
        </w:tc>
        <w:tc>
          <w:tcPr>
            <w:tcW w:w="60" w:type="dxa"/>
            <w:vAlign w:val="bottom"/>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18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54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18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12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900" w:type="dxa"/>
            <w:vAlign w:val="bottom"/>
            <w:tcBorders>
              <w:top w:val="single" w:sz="8" w:color="B2B2B2"/>
            </w:tcBorders>
            <w:shd w:val="clear" w:color="auto" w:fill="B2B2B2"/>
          </w:tcPr>
          <w:p>
            <w:pPr>
              <w:spacing w:after="0"/>
              <w:rPr>
                <w:sz w:val="2"/>
                <w:szCs w:val="2"/>
                <w:color w:val="auto"/>
              </w:rPr>
            </w:pPr>
          </w:p>
        </w:tc>
        <w:tc>
          <w:tcPr>
            <w:tcW w:w="16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320" w:type="dxa"/>
            <w:vAlign w:val="bottom"/>
            <w:tcBorders>
              <w:top w:val="single" w:sz="8" w:color="B2B2B2"/>
            </w:tcBorders>
            <w:shd w:val="clear" w:color="auto" w:fill="B2B2B2"/>
          </w:tcPr>
          <w:p>
            <w:pPr>
              <w:spacing w:after="0"/>
              <w:rPr>
                <w:sz w:val="2"/>
                <w:szCs w:val="2"/>
                <w:color w:val="auto"/>
              </w:rPr>
            </w:pPr>
          </w:p>
        </w:tc>
        <w:tc>
          <w:tcPr>
            <w:tcW w:w="80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82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0000FF"/>
              <w:right w:val="single" w:sz="8" w:color="B2B2B2"/>
            </w:tcBorders>
            <w:shd w:val="clear" w:color="auto" w:fill="B2B2B2"/>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780" w:type="dxa"/>
            <w:vAlign w:val="bottom"/>
            <w:gridSpan w:val="32"/>
          </w:tcPr>
          <w:p>
            <w:pPr>
              <w:ind w:left="120"/>
              <w:spacing w:after="0"/>
              <w:rPr>
                <w:sz w:val="20"/>
                <w:szCs w:val="20"/>
                <w:color w:val="auto"/>
              </w:rPr>
            </w:pPr>
            <w:r>
              <w:rPr>
                <w:rFonts w:ascii="Arial" w:cs="Arial" w:eastAsia="Arial" w:hAnsi="Arial"/>
                <w:sz w:val="16"/>
                <w:szCs w:val="16"/>
                <w:color w:val="0000FF"/>
              </w:rPr>
              <w:t xml:space="preserve">Consolidated statements of cash flows – </w:t>
            </w:r>
            <w:r>
              <w:rPr>
                <w:rFonts w:ascii="Arial" w:cs="Arial" w:eastAsia="Arial" w:hAnsi="Arial"/>
                <w:sz w:val="16"/>
                <w:szCs w:val="16"/>
                <w:color w:val="000000"/>
              </w:rPr>
              <w:t>nine</w:t>
            </w:r>
            <w:r>
              <w:rPr>
                <w:rFonts w:ascii="Arial" w:cs="Arial" w:eastAsia="Arial" w:hAnsi="Arial"/>
                <w:sz w:val="16"/>
                <w:szCs w:val="16"/>
                <w:color w:val="0000FF"/>
              </w:rPr>
              <w:t xml:space="preserve"> months ended </w:t>
            </w:r>
            <w:r>
              <w:rPr>
                <w:rFonts w:ascii="Arial" w:cs="Arial" w:eastAsia="Arial" w:hAnsi="Arial"/>
                <w:sz w:val="16"/>
                <w:szCs w:val="16"/>
                <w:color w:val="000000"/>
              </w:rPr>
              <w:t>September 30, 2026</w:t>
            </w:r>
            <w:r>
              <w:rPr>
                <w:rFonts w:ascii="Arial" w:cs="Arial" w:eastAsia="Arial" w:hAnsi="Arial"/>
                <w:sz w:val="16"/>
                <w:szCs w:val="16"/>
                <w:color w:val="0000FF"/>
              </w:rPr>
              <w:t xml:space="preserve"> and </w:t>
            </w:r>
            <w:r>
              <w:rPr>
                <w:rFonts w:ascii="Arial" w:cs="Arial" w:eastAsia="Arial" w:hAnsi="Arial"/>
                <w:sz w:val="16"/>
                <w:szCs w:val="16"/>
                <w:color w:val="000000"/>
              </w:rPr>
              <w:t>2025</w:t>
            </w:r>
          </w:p>
        </w:tc>
        <w:tc>
          <w:tcPr>
            <w:tcW w:w="640" w:type="dxa"/>
            <w:vAlign w:val="bottom"/>
            <w:gridSpan w:val="3"/>
          </w:tcPr>
          <w:p>
            <w:pPr>
              <w:jc w:val="right"/>
              <w:ind w:right="20"/>
              <w:spacing w:after="0"/>
              <w:rPr>
                <w:sz w:val="20"/>
                <w:szCs w:val="20"/>
                <w:color w:val="auto"/>
              </w:rPr>
            </w:pPr>
            <w:r>
              <w:rPr>
                <w:rFonts w:ascii="Arial" w:cs="Arial" w:eastAsia="Arial" w:hAnsi="Arial"/>
                <w:sz w:val="16"/>
                <w:szCs w:val="16"/>
                <w:color w:val="0000FF"/>
              </w:rPr>
              <w:t>4</w:t>
            </w:r>
          </w:p>
        </w:tc>
        <w:tc>
          <w:tcPr>
            <w:tcW w:w="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0" w:type="dxa"/>
            <w:vAlign w:val="bottom"/>
            <w:shd w:val="clear" w:color="auto" w:fill="B2B2B2"/>
          </w:tcPr>
          <w:p>
            <w:pPr>
              <w:spacing w:after="0"/>
              <w:rPr>
                <w:sz w:val="16"/>
                <w:szCs w:val="16"/>
                <w:color w:val="auto"/>
              </w:rPr>
            </w:pPr>
          </w:p>
        </w:tc>
        <w:tc>
          <w:tcPr>
            <w:tcW w:w="500" w:type="dxa"/>
            <w:vAlign w:val="bottom"/>
            <w:shd w:val="clear" w:color="auto" w:fill="B2B2B2"/>
          </w:tcPr>
          <w:p>
            <w:pPr>
              <w:spacing w:after="0"/>
              <w:rPr>
                <w:sz w:val="16"/>
                <w:szCs w:val="16"/>
                <w:color w:val="auto"/>
              </w:rPr>
            </w:pPr>
          </w:p>
        </w:tc>
        <w:tc>
          <w:tcPr>
            <w:tcW w:w="100" w:type="dxa"/>
            <w:vAlign w:val="bottom"/>
            <w:shd w:val="clear" w:color="auto" w:fill="B2B2B2"/>
          </w:tcPr>
          <w:p>
            <w:pPr>
              <w:spacing w:after="0"/>
              <w:rPr>
                <w:sz w:val="16"/>
                <w:szCs w:val="16"/>
                <w:color w:val="auto"/>
              </w:rPr>
            </w:pPr>
          </w:p>
        </w:tc>
        <w:tc>
          <w:tcPr>
            <w:tcW w:w="140" w:type="dxa"/>
            <w:vAlign w:val="bottom"/>
            <w:shd w:val="clear" w:color="auto" w:fill="B2B2B2"/>
          </w:tcPr>
          <w:p>
            <w:pPr>
              <w:spacing w:after="0"/>
              <w:rPr>
                <w:sz w:val="16"/>
                <w:szCs w:val="16"/>
                <w:color w:val="auto"/>
              </w:rPr>
            </w:pPr>
          </w:p>
        </w:tc>
        <w:tc>
          <w:tcPr>
            <w:tcW w:w="9780" w:type="dxa"/>
            <w:vAlign w:val="bottom"/>
            <w:gridSpan w:val="32"/>
            <w:shd w:val="clear" w:color="auto" w:fill="B2B2B2"/>
          </w:tcPr>
          <w:p>
            <w:pPr>
              <w:ind w:left="120"/>
              <w:spacing w:after="0"/>
              <w:rPr>
                <w:sz w:val="20"/>
                <w:szCs w:val="20"/>
                <w:color w:val="auto"/>
              </w:rPr>
            </w:pPr>
            <w:r>
              <w:rPr>
                <w:rFonts w:ascii="Arial" w:cs="Arial" w:eastAsia="Arial" w:hAnsi="Arial"/>
                <w:sz w:val="16"/>
                <w:szCs w:val="16"/>
                <w:color w:val="0000FF"/>
              </w:rPr>
              <w:t>Notes to consolidated financial statements</w:t>
            </w:r>
          </w:p>
        </w:tc>
        <w:tc>
          <w:tcPr>
            <w:tcW w:w="640" w:type="dxa"/>
            <w:vAlign w:val="bottom"/>
            <w:tcBorders>
              <w:right w:val="single" w:sz="8" w:color="B2B2B2"/>
            </w:tcBorders>
            <w:gridSpan w:val="3"/>
            <w:shd w:val="clear" w:color="auto" w:fill="B2B2B2"/>
          </w:tcPr>
          <w:p>
            <w:pPr>
              <w:jc w:val="right"/>
              <w:ind w:right="20"/>
              <w:spacing w:after="0"/>
              <w:rPr>
                <w:sz w:val="20"/>
                <w:szCs w:val="20"/>
                <w:color w:val="auto"/>
              </w:rPr>
            </w:pPr>
            <w:r>
              <w:rPr>
                <w:rFonts w:ascii="Arial" w:cs="Arial" w:eastAsia="Arial" w:hAnsi="Arial"/>
                <w:sz w:val="16"/>
                <w:szCs w:val="16"/>
                <w:color w:val="0000FF"/>
              </w:rPr>
              <w:t>6</w:t>
            </w:r>
          </w:p>
        </w:tc>
        <w:tc>
          <w:tcPr>
            <w:tcW w:w="60" w:type="dxa"/>
            <w:vAlign w:val="bottom"/>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18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54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18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900" w:type="dxa"/>
            <w:vAlign w:val="bottom"/>
            <w:tcBorders>
              <w:top w:val="single" w:sz="8" w:color="B2B2B2"/>
            </w:tcBorders>
            <w:shd w:val="clear" w:color="auto" w:fill="B2B2B2"/>
          </w:tcPr>
          <w:p>
            <w:pPr>
              <w:spacing w:after="0"/>
              <w:rPr>
                <w:sz w:val="2"/>
                <w:szCs w:val="2"/>
                <w:color w:val="auto"/>
              </w:rPr>
            </w:pPr>
          </w:p>
        </w:tc>
        <w:tc>
          <w:tcPr>
            <w:tcW w:w="16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320" w:type="dxa"/>
            <w:vAlign w:val="bottom"/>
            <w:tcBorders>
              <w:top w:val="single" w:sz="8" w:color="B2B2B2"/>
            </w:tcBorders>
            <w:shd w:val="clear" w:color="auto" w:fill="B2B2B2"/>
          </w:tcPr>
          <w:p>
            <w:pPr>
              <w:spacing w:after="0"/>
              <w:rPr>
                <w:sz w:val="2"/>
                <w:szCs w:val="2"/>
                <w:color w:val="auto"/>
              </w:rPr>
            </w:pPr>
          </w:p>
        </w:tc>
        <w:tc>
          <w:tcPr>
            <w:tcW w:w="80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82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0000FF"/>
              <w:right w:val="single" w:sz="8" w:color="B2B2B2"/>
            </w:tcBorders>
            <w:shd w:val="clear" w:color="auto" w:fill="B2B2B2"/>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0000FF"/>
              </w:rPr>
              <w:t>Item 2.</w:t>
            </w:r>
          </w:p>
        </w:tc>
        <w:tc>
          <w:tcPr>
            <w:tcW w:w="9780" w:type="dxa"/>
            <w:vAlign w:val="bottom"/>
            <w:gridSpan w:val="32"/>
          </w:tcPr>
          <w:p>
            <w:pPr>
              <w:ind w:left="120"/>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640" w:type="dxa"/>
            <w:vAlign w:val="bottom"/>
            <w:gridSpan w:val="3"/>
          </w:tcPr>
          <w:p>
            <w:pPr>
              <w:jc w:val="right"/>
              <w:ind w:right="20"/>
              <w:spacing w:after="0"/>
              <w:rPr>
                <w:sz w:val="20"/>
                <w:szCs w:val="20"/>
                <w:color w:val="auto"/>
              </w:rPr>
            </w:pPr>
            <w:r>
              <w:rPr>
                <w:rFonts w:ascii="Arial" w:cs="Arial" w:eastAsia="Arial" w:hAnsi="Arial"/>
                <w:sz w:val="16"/>
                <w:szCs w:val="16"/>
                <w:color w:val="0000FF"/>
              </w:rPr>
              <w:t>27</w:t>
            </w:r>
          </w:p>
        </w:tc>
        <w:tc>
          <w:tcPr>
            <w:tcW w:w="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9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0" w:type="dxa"/>
            <w:vAlign w:val="bottom"/>
            <w:shd w:val="clear" w:color="auto" w:fill="B2B2B2"/>
          </w:tcPr>
          <w:p>
            <w:pPr>
              <w:spacing w:after="0"/>
              <w:rPr>
                <w:sz w:val="16"/>
                <w:szCs w:val="16"/>
                <w:color w:val="auto"/>
              </w:rPr>
            </w:pPr>
          </w:p>
        </w:tc>
        <w:tc>
          <w:tcPr>
            <w:tcW w:w="500" w:type="dxa"/>
            <w:vAlign w:val="bottom"/>
            <w:shd w:val="clear" w:color="auto" w:fill="B2B2B2"/>
          </w:tcPr>
          <w:p>
            <w:pPr>
              <w:spacing w:after="0"/>
              <w:rPr>
                <w:sz w:val="16"/>
                <w:szCs w:val="16"/>
                <w:color w:val="auto"/>
              </w:rPr>
            </w:pPr>
          </w:p>
        </w:tc>
        <w:tc>
          <w:tcPr>
            <w:tcW w:w="100" w:type="dxa"/>
            <w:vAlign w:val="bottom"/>
            <w:shd w:val="clear" w:color="auto" w:fill="B2B2B2"/>
          </w:tcPr>
          <w:p>
            <w:pPr>
              <w:spacing w:after="0"/>
              <w:rPr>
                <w:sz w:val="16"/>
                <w:szCs w:val="16"/>
                <w:color w:val="auto"/>
              </w:rPr>
            </w:pPr>
          </w:p>
        </w:tc>
        <w:tc>
          <w:tcPr>
            <w:tcW w:w="140" w:type="dxa"/>
            <w:vAlign w:val="bottom"/>
            <w:shd w:val="clear" w:color="auto" w:fill="B2B2B2"/>
          </w:tcPr>
          <w:p>
            <w:pPr>
              <w:spacing w:after="0"/>
              <w:rPr>
                <w:sz w:val="16"/>
                <w:szCs w:val="16"/>
                <w:color w:val="auto"/>
              </w:rPr>
            </w:pPr>
          </w:p>
        </w:tc>
        <w:tc>
          <w:tcPr>
            <w:tcW w:w="9780" w:type="dxa"/>
            <w:vAlign w:val="bottom"/>
            <w:gridSpan w:val="32"/>
            <w:shd w:val="clear" w:color="auto" w:fill="B2B2B2"/>
          </w:tcPr>
          <w:p>
            <w:pPr>
              <w:ind w:left="120"/>
              <w:spacing w:after="0"/>
              <w:rPr>
                <w:sz w:val="20"/>
                <w:szCs w:val="20"/>
                <w:color w:val="auto"/>
              </w:rPr>
            </w:pPr>
            <w:r>
              <w:rPr>
                <w:rFonts w:ascii="Arial" w:cs="Arial" w:eastAsia="Arial" w:hAnsi="Arial"/>
                <w:sz w:val="16"/>
                <w:szCs w:val="16"/>
                <w:color w:val="0000FF"/>
              </w:rPr>
              <w:t>Forward-looking statements</w:t>
            </w:r>
          </w:p>
        </w:tc>
        <w:tc>
          <w:tcPr>
            <w:tcW w:w="640" w:type="dxa"/>
            <w:vAlign w:val="bottom"/>
            <w:tcBorders>
              <w:right w:val="single" w:sz="8" w:color="B2B2B2"/>
            </w:tcBorders>
            <w:gridSpan w:val="3"/>
            <w:shd w:val="clear" w:color="auto" w:fill="B2B2B2"/>
          </w:tcPr>
          <w:p>
            <w:pPr>
              <w:jc w:val="right"/>
              <w:ind w:right="20"/>
              <w:spacing w:after="0"/>
              <w:rPr>
                <w:sz w:val="20"/>
                <w:szCs w:val="20"/>
                <w:color w:val="auto"/>
              </w:rPr>
            </w:pPr>
            <w:r>
              <w:rPr>
                <w:rFonts w:ascii="Arial" w:cs="Arial" w:eastAsia="Arial" w:hAnsi="Arial"/>
                <w:sz w:val="16"/>
                <w:szCs w:val="16"/>
                <w:color w:val="0000FF"/>
              </w:rPr>
              <w:t>27</w:t>
            </w:r>
          </w:p>
        </w:tc>
        <w:tc>
          <w:tcPr>
            <w:tcW w:w="60" w:type="dxa"/>
            <w:vAlign w:val="bottom"/>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18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54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18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900" w:type="dxa"/>
            <w:vAlign w:val="bottom"/>
            <w:tcBorders>
              <w:top w:val="single" w:sz="8" w:color="B2B2B2"/>
            </w:tcBorders>
            <w:shd w:val="clear" w:color="auto" w:fill="B2B2B2"/>
          </w:tcPr>
          <w:p>
            <w:pPr>
              <w:spacing w:after="0"/>
              <w:rPr>
                <w:sz w:val="2"/>
                <w:szCs w:val="2"/>
                <w:color w:val="auto"/>
              </w:rPr>
            </w:pPr>
          </w:p>
        </w:tc>
        <w:tc>
          <w:tcPr>
            <w:tcW w:w="16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320" w:type="dxa"/>
            <w:vAlign w:val="bottom"/>
            <w:tcBorders>
              <w:top w:val="single" w:sz="8" w:color="B2B2B2"/>
            </w:tcBorders>
            <w:shd w:val="clear" w:color="auto" w:fill="B2B2B2"/>
          </w:tcPr>
          <w:p>
            <w:pPr>
              <w:spacing w:after="0"/>
              <w:rPr>
                <w:sz w:val="2"/>
                <w:szCs w:val="2"/>
                <w:color w:val="auto"/>
              </w:rPr>
            </w:pPr>
          </w:p>
        </w:tc>
        <w:tc>
          <w:tcPr>
            <w:tcW w:w="80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82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0000FF"/>
              <w:right w:val="single" w:sz="8" w:color="B2B2B2"/>
            </w:tcBorders>
            <w:shd w:val="clear" w:color="auto" w:fill="B2B2B2"/>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0000FF"/>
              </w:rPr>
              <w:t>Item 3.</w:t>
            </w:r>
          </w:p>
        </w:tc>
        <w:tc>
          <w:tcPr>
            <w:tcW w:w="9780" w:type="dxa"/>
            <w:vAlign w:val="bottom"/>
            <w:gridSpan w:val="32"/>
          </w:tcPr>
          <w:p>
            <w:pPr>
              <w:ind w:left="120"/>
              <w:spacing w:after="0"/>
              <w:rPr>
                <w:sz w:val="20"/>
                <w:szCs w:val="20"/>
                <w:color w:val="auto"/>
              </w:rPr>
            </w:pPr>
            <w:r>
              <w:rPr>
                <w:rFonts w:ascii="Arial" w:cs="Arial" w:eastAsia="Arial" w:hAnsi="Arial"/>
                <w:sz w:val="16"/>
                <w:szCs w:val="16"/>
                <w:color w:val="0000FF"/>
              </w:rPr>
              <w:t>Quantitative and Qualitative Disclosures about Market Risk</w:t>
            </w:r>
          </w:p>
        </w:tc>
        <w:tc>
          <w:tcPr>
            <w:tcW w:w="640" w:type="dxa"/>
            <w:vAlign w:val="bottom"/>
            <w:gridSpan w:val="3"/>
          </w:tcPr>
          <w:p>
            <w:pPr>
              <w:jc w:val="right"/>
              <w:ind w:right="20"/>
              <w:spacing w:after="0"/>
              <w:rPr>
                <w:sz w:val="20"/>
                <w:szCs w:val="20"/>
                <w:color w:val="auto"/>
              </w:rPr>
            </w:pPr>
            <w:r>
              <w:rPr>
                <w:rFonts w:ascii="Arial" w:cs="Arial" w:eastAsia="Arial" w:hAnsi="Arial"/>
                <w:sz w:val="16"/>
                <w:szCs w:val="16"/>
                <w:color w:val="0000FF"/>
              </w:rPr>
              <w:t>37</w:t>
            </w:r>
          </w:p>
        </w:tc>
        <w:tc>
          <w:tcPr>
            <w:tcW w:w="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0" w:type="dxa"/>
            <w:vAlign w:val="bottom"/>
            <w:shd w:val="clear" w:color="auto" w:fill="B2B2B2"/>
          </w:tcPr>
          <w:p>
            <w:pPr>
              <w:spacing w:after="0"/>
              <w:rPr>
                <w:sz w:val="16"/>
                <w:szCs w:val="16"/>
                <w:color w:val="auto"/>
              </w:rPr>
            </w:pPr>
          </w:p>
        </w:tc>
        <w:tc>
          <w:tcPr>
            <w:tcW w:w="740" w:type="dxa"/>
            <w:vAlign w:val="bottom"/>
            <w:gridSpan w:val="3"/>
            <w:shd w:val="clear" w:color="auto" w:fill="B2B2B2"/>
          </w:tcPr>
          <w:p>
            <w:pPr>
              <w:spacing w:after="0"/>
              <w:rPr>
                <w:sz w:val="20"/>
                <w:szCs w:val="20"/>
                <w:color w:val="auto"/>
              </w:rPr>
            </w:pPr>
            <w:r>
              <w:rPr>
                <w:rFonts w:ascii="Arial" w:cs="Arial" w:eastAsia="Arial" w:hAnsi="Arial"/>
                <w:sz w:val="16"/>
                <w:szCs w:val="16"/>
                <w:color w:val="0000FF"/>
              </w:rPr>
              <w:t>Item 4.</w:t>
            </w:r>
          </w:p>
        </w:tc>
        <w:tc>
          <w:tcPr>
            <w:tcW w:w="9780" w:type="dxa"/>
            <w:vAlign w:val="bottom"/>
            <w:gridSpan w:val="32"/>
            <w:shd w:val="clear" w:color="auto" w:fill="B2B2B2"/>
          </w:tcPr>
          <w:p>
            <w:pPr>
              <w:ind w:left="120"/>
              <w:spacing w:after="0"/>
              <w:rPr>
                <w:sz w:val="20"/>
                <w:szCs w:val="20"/>
                <w:color w:val="auto"/>
              </w:rPr>
            </w:pPr>
            <w:r>
              <w:rPr>
                <w:rFonts w:ascii="Arial" w:cs="Arial" w:eastAsia="Arial" w:hAnsi="Arial"/>
                <w:sz w:val="16"/>
                <w:szCs w:val="16"/>
                <w:color w:val="0000FF"/>
              </w:rPr>
              <w:t>Controls and Procedures</w:t>
            </w:r>
          </w:p>
        </w:tc>
        <w:tc>
          <w:tcPr>
            <w:tcW w:w="640" w:type="dxa"/>
            <w:vAlign w:val="bottom"/>
            <w:tcBorders>
              <w:right w:val="single" w:sz="8" w:color="B2B2B2"/>
            </w:tcBorders>
            <w:gridSpan w:val="3"/>
            <w:shd w:val="clear" w:color="auto" w:fill="B2B2B2"/>
          </w:tcPr>
          <w:p>
            <w:pPr>
              <w:jc w:val="right"/>
              <w:ind w:right="20"/>
              <w:spacing w:after="0"/>
              <w:rPr>
                <w:sz w:val="20"/>
                <w:szCs w:val="20"/>
                <w:color w:val="auto"/>
              </w:rPr>
            </w:pPr>
            <w:r>
              <w:rPr>
                <w:rFonts w:ascii="Arial" w:cs="Arial" w:eastAsia="Arial" w:hAnsi="Arial"/>
                <w:sz w:val="16"/>
                <w:szCs w:val="16"/>
                <w:color w:val="0000FF"/>
              </w:rPr>
              <w:t>38</w:t>
            </w:r>
          </w:p>
        </w:tc>
        <w:tc>
          <w:tcPr>
            <w:tcW w:w="60" w:type="dxa"/>
            <w:vAlign w:val="bottom"/>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18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54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18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900" w:type="dxa"/>
            <w:vAlign w:val="bottom"/>
            <w:tcBorders>
              <w:top w:val="single" w:sz="8" w:color="B2B2B2"/>
            </w:tcBorders>
            <w:shd w:val="clear" w:color="auto" w:fill="B2B2B2"/>
          </w:tcPr>
          <w:p>
            <w:pPr>
              <w:spacing w:after="0"/>
              <w:rPr>
                <w:sz w:val="2"/>
                <w:szCs w:val="2"/>
                <w:color w:val="auto"/>
              </w:rPr>
            </w:pPr>
          </w:p>
        </w:tc>
        <w:tc>
          <w:tcPr>
            <w:tcW w:w="16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320" w:type="dxa"/>
            <w:vAlign w:val="bottom"/>
            <w:tcBorders>
              <w:top w:val="single" w:sz="8" w:color="B2B2B2"/>
            </w:tcBorders>
            <w:shd w:val="clear" w:color="auto" w:fill="B2B2B2"/>
          </w:tcPr>
          <w:p>
            <w:pPr>
              <w:spacing w:after="0"/>
              <w:rPr>
                <w:sz w:val="2"/>
                <w:szCs w:val="2"/>
                <w:color w:val="auto"/>
              </w:rPr>
            </w:pPr>
          </w:p>
        </w:tc>
        <w:tc>
          <w:tcPr>
            <w:tcW w:w="80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82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0000FF"/>
              <w:right w:val="single" w:sz="8" w:color="B2B2B2"/>
            </w:tcBorders>
            <w:shd w:val="clear" w:color="auto" w:fill="B2B2B2"/>
          </w:tcPr>
          <w:p>
            <w:pPr>
              <w:spacing w:after="0"/>
              <w:rPr>
                <w:sz w:val="2"/>
                <w:szCs w:val="2"/>
                <w:color w:val="auto"/>
              </w:rPr>
            </w:pPr>
          </w:p>
        </w:tc>
        <w:tc>
          <w:tcPr>
            <w:tcW w:w="60" w:type="dxa"/>
            <w:vAlign w:val="bottom"/>
          </w:tcPr>
          <w:p>
            <w:pPr>
              <w:spacing w:after="0"/>
              <w:rPr>
                <w:sz w:val="2"/>
                <w:szCs w:val="2"/>
                <w:color w:val="auto"/>
              </w:rPr>
            </w:pPr>
          </w:p>
        </w:tc>
      </w:tr>
      <w:tr>
        <w:trPr>
          <w:trHeight w:val="239"/>
        </w:trPr>
        <w:tc>
          <w:tcPr>
            <w:tcW w:w="20" w:type="dxa"/>
            <w:vAlign w:val="bottom"/>
          </w:tcPr>
          <w:p>
            <w:pPr>
              <w:spacing w:after="0"/>
              <w:rPr>
                <w:sz w:val="20"/>
                <w:szCs w:val="20"/>
                <w:color w:val="auto"/>
              </w:rPr>
            </w:pPr>
          </w:p>
        </w:tc>
        <w:tc>
          <w:tcPr>
            <w:tcW w:w="10520" w:type="dxa"/>
            <w:vAlign w:val="bottom"/>
            <w:gridSpan w:val="35"/>
          </w:tcPr>
          <w:p>
            <w:pPr>
              <w:spacing w:after="0"/>
              <w:rPr>
                <w:sz w:val="20"/>
                <w:szCs w:val="20"/>
                <w:color w:val="auto"/>
              </w:rPr>
            </w:pPr>
            <w:r>
              <w:rPr>
                <w:rFonts w:ascii="Arial" w:cs="Arial" w:eastAsia="Arial" w:hAnsi="Arial"/>
                <w:sz w:val="16"/>
                <w:szCs w:val="16"/>
                <w:b w:val="1"/>
                <w:bCs w:val="1"/>
                <w:color w:val="0000FF"/>
              </w:rPr>
              <w:t>Part II Other Information</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93"/>
        </w:trPr>
        <w:tc>
          <w:tcPr>
            <w:tcW w:w="20" w:type="dxa"/>
            <w:vAlign w:val="bottom"/>
            <w:shd w:val="clear" w:color="auto" w:fill="B2B2B2"/>
          </w:tcPr>
          <w:p>
            <w:pPr>
              <w:spacing w:after="0"/>
              <w:rPr>
                <w:sz w:val="16"/>
                <w:szCs w:val="16"/>
                <w:color w:val="auto"/>
              </w:rPr>
            </w:pPr>
          </w:p>
        </w:tc>
        <w:tc>
          <w:tcPr>
            <w:tcW w:w="740" w:type="dxa"/>
            <w:vAlign w:val="bottom"/>
            <w:gridSpan w:val="3"/>
            <w:shd w:val="clear" w:color="auto" w:fill="B2B2B2"/>
          </w:tcPr>
          <w:p>
            <w:pPr>
              <w:spacing w:after="0"/>
              <w:rPr>
                <w:sz w:val="20"/>
                <w:szCs w:val="20"/>
                <w:color w:val="auto"/>
              </w:rPr>
            </w:pPr>
            <w:r>
              <w:rPr>
                <w:rFonts w:ascii="Arial" w:cs="Arial" w:eastAsia="Arial" w:hAnsi="Arial"/>
                <w:sz w:val="16"/>
                <w:szCs w:val="16"/>
                <w:color w:val="0000FF"/>
              </w:rPr>
              <w:t>Item 1.</w:t>
            </w:r>
          </w:p>
        </w:tc>
        <w:tc>
          <w:tcPr>
            <w:tcW w:w="9780" w:type="dxa"/>
            <w:vAlign w:val="bottom"/>
            <w:gridSpan w:val="32"/>
            <w:shd w:val="clear" w:color="auto" w:fill="B2B2B2"/>
          </w:tcPr>
          <w:p>
            <w:pPr>
              <w:ind w:left="120"/>
              <w:spacing w:after="0"/>
              <w:rPr>
                <w:sz w:val="20"/>
                <w:szCs w:val="20"/>
                <w:color w:val="auto"/>
              </w:rPr>
            </w:pPr>
            <w:r>
              <w:rPr>
                <w:rFonts w:ascii="Arial" w:cs="Arial" w:eastAsia="Arial" w:hAnsi="Arial"/>
                <w:sz w:val="16"/>
                <w:szCs w:val="16"/>
                <w:color w:val="0000FF"/>
              </w:rPr>
              <w:t>Legal Proceedings</w:t>
            </w:r>
          </w:p>
        </w:tc>
        <w:tc>
          <w:tcPr>
            <w:tcW w:w="640" w:type="dxa"/>
            <w:vAlign w:val="bottom"/>
            <w:tcBorders>
              <w:right w:val="single" w:sz="8" w:color="B2B2B2"/>
            </w:tcBorders>
            <w:gridSpan w:val="3"/>
            <w:shd w:val="clear" w:color="auto" w:fill="B2B2B2"/>
          </w:tcPr>
          <w:p>
            <w:pPr>
              <w:jc w:val="right"/>
              <w:ind w:right="20"/>
              <w:spacing w:after="0"/>
              <w:rPr>
                <w:sz w:val="20"/>
                <w:szCs w:val="20"/>
                <w:color w:val="auto"/>
              </w:rPr>
            </w:pPr>
            <w:r>
              <w:rPr>
                <w:rFonts w:ascii="Arial" w:cs="Arial" w:eastAsia="Arial" w:hAnsi="Arial"/>
                <w:sz w:val="16"/>
                <w:szCs w:val="16"/>
                <w:color w:val="0000FF"/>
              </w:rPr>
              <w:t>38</w:t>
            </w:r>
          </w:p>
        </w:tc>
        <w:tc>
          <w:tcPr>
            <w:tcW w:w="60" w:type="dxa"/>
            <w:vAlign w:val="bottom"/>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18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54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18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900" w:type="dxa"/>
            <w:vAlign w:val="bottom"/>
            <w:tcBorders>
              <w:top w:val="single" w:sz="8" w:color="B2B2B2"/>
            </w:tcBorders>
            <w:shd w:val="clear" w:color="auto" w:fill="B2B2B2"/>
          </w:tcPr>
          <w:p>
            <w:pPr>
              <w:spacing w:after="0"/>
              <w:rPr>
                <w:sz w:val="2"/>
                <w:szCs w:val="2"/>
                <w:color w:val="auto"/>
              </w:rPr>
            </w:pPr>
          </w:p>
        </w:tc>
        <w:tc>
          <w:tcPr>
            <w:tcW w:w="16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320" w:type="dxa"/>
            <w:vAlign w:val="bottom"/>
            <w:tcBorders>
              <w:top w:val="single" w:sz="8" w:color="B2B2B2"/>
            </w:tcBorders>
            <w:shd w:val="clear" w:color="auto" w:fill="B2B2B2"/>
          </w:tcPr>
          <w:p>
            <w:pPr>
              <w:spacing w:after="0"/>
              <w:rPr>
                <w:sz w:val="2"/>
                <w:szCs w:val="2"/>
                <w:color w:val="auto"/>
              </w:rPr>
            </w:pPr>
          </w:p>
        </w:tc>
        <w:tc>
          <w:tcPr>
            <w:tcW w:w="80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82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0000FF"/>
              <w:right w:val="single" w:sz="8" w:color="B2B2B2"/>
            </w:tcBorders>
            <w:shd w:val="clear" w:color="auto" w:fill="B2B2B2"/>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0000FF"/>
              </w:rPr>
              <w:t>Item 1A.</w:t>
            </w:r>
          </w:p>
        </w:tc>
        <w:tc>
          <w:tcPr>
            <w:tcW w:w="9780" w:type="dxa"/>
            <w:vAlign w:val="bottom"/>
            <w:gridSpan w:val="32"/>
          </w:tcPr>
          <w:p>
            <w:pPr>
              <w:ind w:left="120"/>
              <w:spacing w:after="0"/>
              <w:rPr>
                <w:sz w:val="20"/>
                <w:szCs w:val="20"/>
                <w:color w:val="auto"/>
              </w:rPr>
            </w:pPr>
            <w:r>
              <w:rPr>
                <w:rFonts w:ascii="Arial" w:cs="Arial" w:eastAsia="Arial" w:hAnsi="Arial"/>
                <w:sz w:val="16"/>
                <w:szCs w:val="16"/>
                <w:color w:val="0000FF"/>
              </w:rPr>
              <w:t>Risk Factors</w:t>
            </w:r>
          </w:p>
        </w:tc>
        <w:tc>
          <w:tcPr>
            <w:tcW w:w="640" w:type="dxa"/>
            <w:vAlign w:val="bottom"/>
            <w:gridSpan w:val="3"/>
          </w:tcPr>
          <w:p>
            <w:pPr>
              <w:jc w:val="right"/>
              <w:ind w:right="20"/>
              <w:spacing w:after="0"/>
              <w:rPr>
                <w:sz w:val="20"/>
                <w:szCs w:val="20"/>
                <w:color w:val="auto"/>
              </w:rPr>
            </w:pPr>
            <w:r>
              <w:rPr>
                <w:rFonts w:ascii="Arial" w:cs="Arial" w:eastAsia="Arial" w:hAnsi="Arial"/>
                <w:sz w:val="16"/>
                <w:szCs w:val="16"/>
                <w:color w:val="0000FF"/>
              </w:rPr>
              <w:t>38</w:t>
            </w:r>
          </w:p>
        </w:tc>
        <w:tc>
          <w:tcPr>
            <w:tcW w:w="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0" w:type="dxa"/>
            <w:vAlign w:val="bottom"/>
            <w:shd w:val="clear" w:color="auto" w:fill="B2B2B2"/>
          </w:tcPr>
          <w:p>
            <w:pPr>
              <w:spacing w:after="0"/>
              <w:rPr>
                <w:sz w:val="16"/>
                <w:szCs w:val="16"/>
                <w:color w:val="auto"/>
              </w:rPr>
            </w:pPr>
          </w:p>
        </w:tc>
        <w:tc>
          <w:tcPr>
            <w:tcW w:w="740" w:type="dxa"/>
            <w:vAlign w:val="bottom"/>
            <w:gridSpan w:val="3"/>
            <w:shd w:val="clear" w:color="auto" w:fill="B2B2B2"/>
          </w:tcPr>
          <w:p>
            <w:pPr>
              <w:spacing w:after="0"/>
              <w:rPr>
                <w:sz w:val="20"/>
                <w:szCs w:val="20"/>
                <w:color w:val="auto"/>
              </w:rPr>
            </w:pPr>
            <w:r>
              <w:rPr>
                <w:rFonts w:ascii="Arial" w:cs="Arial" w:eastAsia="Arial" w:hAnsi="Arial"/>
                <w:sz w:val="16"/>
                <w:szCs w:val="16"/>
                <w:color w:val="0000FF"/>
              </w:rPr>
              <w:t>Item 2.</w:t>
            </w:r>
          </w:p>
        </w:tc>
        <w:tc>
          <w:tcPr>
            <w:tcW w:w="9780" w:type="dxa"/>
            <w:vAlign w:val="bottom"/>
            <w:gridSpan w:val="32"/>
            <w:shd w:val="clear" w:color="auto" w:fill="B2B2B2"/>
          </w:tcPr>
          <w:p>
            <w:pPr>
              <w:ind w:left="120"/>
              <w:spacing w:after="0"/>
              <w:rPr>
                <w:sz w:val="20"/>
                <w:szCs w:val="20"/>
                <w:color w:val="auto"/>
              </w:rPr>
            </w:pPr>
            <w:r>
              <w:rPr>
                <w:rFonts w:ascii="Arial" w:cs="Arial" w:eastAsia="Arial" w:hAnsi="Arial"/>
                <w:sz w:val="16"/>
                <w:szCs w:val="16"/>
                <w:color w:val="0000FF"/>
              </w:rPr>
              <w:t>Unregistered Sales of Equity Securities and Use of Proceeds</w:t>
            </w:r>
          </w:p>
        </w:tc>
        <w:tc>
          <w:tcPr>
            <w:tcW w:w="640" w:type="dxa"/>
            <w:vAlign w:val="bottom"/>
            <w:tcBorders>
              <w:right w:val="single" w:sz="8" w:color="B2B2B2"/>
            </w:tcBorders>
            <w:gridSpan w:val="3"/>
            <w:shd w:val="clear" w:color="auto" w:fill="B2B2B2"/>
          </w:tcPr>
          <w:p>
            <w:pPr>
              <w:jc w:val="right"/>
              <w:ind w:right="20"/>
              <w:spacing w:after="0"/>
              <w:rPr>
                <w:sz w:val="20"/>
                <w:szCs w:val="20"/>
                <w:color w:val="auto"/>
              </w:rPr>
            </w:pPr>
            <w:r>
              <w:rPr>
                <w:rFonts w:ascii="Arial" w:cs="Arial" w:eastAsia="Arial" w:hAnsi="Arial"/>
                <w:sz w:val="16"/>
                <w:szCs w:val="16"/>
                <w:color w:val="0000FF"/>
              </w:rPr>
              <w:t>38</w:t>
            </w:r>
          </w:p>
        </w:tc>
        <w:tc>
          <w:tcPr>
            <w:tcW w:w="60" w:type="dxa"/>
            <w:vAlign w:val="bottom"/>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18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200" w:type="dxa"/>
            <w:vAlign w:val="bottom"/>
            <w:tcBorders>
              <w:top w:val="single" w:sz="8" w:color="0000FF"/>
            </w:tcBorders>
            <w:shd w:val="clear" w:color="auto" w:fill="B2B2B2"/>
          </w:tcPr>
          <w:p>
            <w:pPr>
              <w:spacing w:after="0"/>
              <w:rPr>
                <w:sz w:val="2"/>
                <w:szCs w:val="2"/>
                <w:color w:val="auto"/>
              </w:rPr>
            </w:pPr>
          </w:p>
        </w:tc>
        <w:tc>
          <w:tcPr>
            <w:tcW w:w="54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0000FF"/>
            </w:tcBorders>
            <w:shd w:val="clear" w:color="auto" w:fill="B2B2B2"/>
          </w:tcPr>
          <w:p>
            <w:pPr>
              <w:spacing w:after="0"/>
              <w:rPr>
                <w:sz w:val="2"/>
                <w:szCs w:val="2"/>
                <w:color w:val="auto"/>
              </w:rPr>
            </w:pPr>
          </w:p>
        </w:tc>
        <w:tc>
          <w:tcPr>
            <w:tcW w:w="18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12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0000FF"/>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900" w:type="dxa"/>
            <w:vAlign w:val="bottom"/>
            <w:tcBorders>
              <w:top w:val="single" w:sz="8" w:color="B2B2B2"/>
            </w:tcBorders>
            <w:shd w:val="clear" w:color="auto" w:fill="B2B2B2"/>
          </w:tcPr>
          <w:p>
            <w:pPr>
              <w:spacing w:after="0"/>
              <w:rPr>
                <w:sz w:val="2"/>
                <w:szCs w:val="2"/>
                <w:color w:val="auto"/>
              </w:rPr>
            </w:pPr>
          </w:p>
        </w:tc>
        <w:tc>
          <w:tcPr>
            <w:tcW w:w="16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320" w:type="dxa"/>
            <w:vAlign w:val="bottom"/>
            <w:tcBorders>
              <w:top w:val="single" w:sz="8" w:color="B2B2B2"/>
            </w:tcBorders>
            <w:shd w:val="clear" w:color="auto" w:fill="B2B2B2"/>
          </w:tcPr>
          <w:p>
            <w:pPr>
              <w:spacing w:after="0"/>
              <w:rPr>
                <w:sz w:val="2"/>
                <w:szCs w:val="2"/>
                <w:color w:val="auto"/>
              </w:rPr>
            </w:pPr>
          </w:p>
        </w:tc>
        <w:tc>
          <w:tcPr>
            <w:tcW w:w="80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82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0000FF"/>
              <w:right w:val="single" w:sz="8" w:color="B2B2B2"/>
            </w:tcBorders>
            <w:shd w:val="clear" w:color="auto" w:fill="B2B2B2"/>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0000FF"/>
              </w:rPr>
              <w:t>Item 3.</w:t>
            </w:r>
          </w:p>
        </w:tc>
        <w:tc>
          <w:tcPr>
            <w:tcW w:w="9780" w:type="dxa"/>
            <w:vAlign w:val="bottom"/>
            <w:gridSpan w:val="32"/>
          </w:tcPr>
          <w:p>
            <w:pPr>
              <w:ind w:left="120"/>
              <w:spacing w:after="0"/>
              <w:rPr>
                <w:sz w:val="20"/>
                <w:szCs w:val="20"/>
                <w:color w:val="auto"/>
              </w:rPr>
            </w:pPr>
            <w:r>
              <w:rPr>
                <w:rFonts w:ascii="Arial" w:cs="Arial" w:eastAsia="Arial" w:hAnsi="Arial"/>
                <w:sz w:val="16"/>
                <w:szCs w:val="16"/>
                <w:color w:val="0000FF"/>
              </w:rPr>
              <w:t>Defaults upon Senior Securities</w:t>
            </w:r>
          </w:p>
        </w:tc>
        <w:tc>
          <w:tcPr>
            <w:tcW w:w="640" w:type="dxa"/>
            <w:vAlign w:val="bottom"/>
            <w:gridSpan w:val="3"/>
          </w:tcPr>
          <w:p>
            <w:pPr>
              <w:jc w:val="right"/>
              <w:ind w:right="20"/>
              <w:spacing w:after="0"/>
              <w:rPr>
                <w:sz w:val="20"/>
                <w:szCs w:val="20"/>
                <w:color w:val="auto"/>
              </w:rPr>
            </w:pPr>
            <w:r>
              <w:rPr>
                <w:rFonts w:ascii="Arial" w:cs="Arial" w:eastAsia="Arial" w:hAnsi="Arial"/>
                <w:sz w:val="16"/>
                <w:szCs w:val="16"/>
                <w:color w:val="0000FF"/>
              </w:rPr>
              <w:t>39</w:t>
            </w:r>
          </w:p>
        </w:tc>
        <w:tc>
          <w:tcPr>
            <w:tcW w:w="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0" w:type="dxa"/>
            <w:vAlign w:val="bottom"/>
            <w:shd w:val="clear" w:color="auto" w:fill="B2B2B2"/>
          </w:tcPr>
          <w:p>
            <w:pPr>
              <w:spacing w:after="0"/>
              <w:rPr>
                <w:sz w:val="16"/>
                <w:szCs w:val="16"/>
                <w:color w:val="auto"/>
              </w:rPr>
            </w:pPr>
          </w:p>
        </w:tc>
        <w:tc>
          <w:tcPr>
            <w:tcW w:w="740" w:type="dxa"/>
            <w:vAlign w:val="bottom"/>
            <w:gridSpan w:val="3"/>
            <w:shd w:val="clear" w:color="auto" w:fill="B2B2B2"/>
          </w:tcPr>
          <w:p>
            <w:pPr>
              <w:spacing w:after="0"/>
              <w:rPr>
                <w:sz w:val="20"/>
                <w:szCs w:val="20"/>
                <w:color w:val="auto"/>
              </w:rPr>
            </w:pPr>
            <w:r>
              <w:rPr>
                <w:rFonts w:ascii="Arial" w:cs="Arial" w:eastAsia="Arial" w:hAnsi="Arial"/>
                <w:sz w:val="16"/>
                <w:szCs w:val="16"/>
                <w:color w:val="0000FF"/>
              </w:rPr>
              <w:t>Item 4.</w:t>
            </w:r>
          </w:p>
        </w:tc>
        <w:tc>
          <w:tcPr>
            <w:tcW w:w="9780" w:type="dxa"/>
            <w:vAlign w:val="bottom"/>
            <w:gridSpan w:val="32"/>
            <w:shd w:val="clear" w:color="auto" w:fill="B2B2B2"/>
          </w:tcPr>
          <w:p>
            <w:pPr>
              <w:ind w:left="120"/>
              <w:spacing w:after="0"/>
              <w:rPr>
                <w:sz w:val="20"/>
                <w:szCs w:val="20"/>
                <w:color w:val="auto"/>
              </w:rPr>
            </w:pPr>
            <w:r>
              <w:rPr>
                <w:rFonts w:ascii="Arial" w:cs="Arial" w:eastAsia="Arial" w:hAnsi="Arial"/>
                <w:sz w:val="16"/>
                <w:szCs w:val="16"/>
                <w:color w:val="0000FF"/>
              </w:rPr>
              <w:t>Mine Safety Disclosures</w:t>
            </w:r>
          </w:p>
        </w:tc>
        <w:tc>
          <w:tcPr>
            <w:tcW w:w="640" w:type="dxa"/>
            <w:vAlign w:val="bottom"/>
            <w:tcBorders>
              <w:right w:val="single" w:sz="8" w:color="B2B2B2"/>
            </w:tcBorders>
            <w:gridSpan w:val="3"/>
            <w:shd w:val="clear" w:color="auto" w:fill="B2B2B2"/>
          </w:tcPr>
          <w:p>
            <w:pPr>
              <w:jc w:val="right"/>
              <w:ind w:right="20"/>
              <w:spacing w:after="0"/>
              <w:rPr>
                <w:sz w:val="20"/>
                <w:szCs w:val="20"/>
                <w:color w:val="auto"/>
              </w:rPr>
            </w:pPr>
            <w:r>
              <w:rPr>
                <w:rFonts w:ascii="Arial" w:cs="Arial" w:eastAsia="Arial" w:hAnsi="Arial"/>
                <w:sz w:val="16"/>
                <w:szCs w:val="16"/>
                <w:color w:val="0000FF"/>
              </w:rPr>
              <w:t>39</w:t>
            </w:r>
          </w:p>
        </w:tc>
        <w:tc>
          <w:tcPr>
            <w:tcW w:w="60" w:type="dxa"/>
            <w:vAlign w:val="bottom"/>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18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54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18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B2B2B2"/>
            </w:tcBorders>
            <w:shd w:val="clear" w:color="auto" w:fill="B2B2B2"/>
          </w:tcPr>
          <w:p>
            <w:pPr>
              <w:spacing w:after="0"/>
              <w:rPr>
                <w:sz w:val="2"/>
                <w:szCs w:val="2"/>
                <w:color w:val="auto"/>
              </w:rPr>
            </w:pPr>
          </w:p>
        </w:tc>
        <w:tc>
          <w:tcPr>
            <w:tcW w:w="900" w:type="dxa"/>
            <w:vAlign w:val="bottom"/>
            <w:tcBorders>
              <w:top w:val="single" w:sz="8" w:color="B2B2B2"/>
            </w:tcBorders>
            <w:shd w:val="clear" w:color="auto" w:fill="B2B2B2"/>
          </w:tcPr>
          <w:p>
            <w:pPr>
              <w:spacing w:after="0"/>
              <w:rPr>
                <w:sz w:val="2"/>
                <w:szCs w:val="2"/>
                <w:color w:val="auto"/>
              </w:rPr>
            </w:pPr>
          </w:p>
        </w:tc>
        <w:tc>
          <w:tcPr>
            <w:tcW w:w="16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320" w:type="dxa"/>
            <w:vAlign w:val="bottom"/>
            <w:tcBorders>
              <w:top w:val="single" w:sz="8" w:color="B2B2B2"/>
            </w:tcBorders>
            <w:shd w:val="clear" w:color="auto" w:fill="B2B2B2"/>
          </w:tcPr>
          <w:p>
            <w:pPr>
              <w:spacing w:after="0"/>
              <w:rPr>
                <w:sz w:val="2"/>
                <w:szCs w:val="2"/>
                <w:color w:val="auto"/>
              </w:rPr>
            </w:pPr>
          </w:p>
        </w:tc>
        <w:tc>
          <w:tcPr>
            <w:tcW w:w="80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820" w:type="dxa"/>
            <w:vAlign w:val="bottom"/>
            <w:tcBorders>
              <w:top w:val="single" w:sz="8" w:color="B2B2B2"/>
            </w:tcBorders>
            <w:shd w:val="clear" w:color="auto" w:fill="B2B2B2"/>
          </w:tcPr>
          <w:p>
            <w:pPr>
              <w:spacing w:after="0"/>
              <w:rPr>
                <w:sz w:val="2"/>
                <w:szCs w:val="2"/>
                <w:color w:val="auto"/>
              </w:rPr>
            </w:pPr>
          </w:p>
        </w:tc>
        <w:tc>
          <w:tcPr>
            <w:tcW w:w="44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0000FF"/>
              <w:right w:val="single" w:sz="8" w:color="B2B2B2"/>
            </w:tcBorders>
            <w:shd w:val="clear" w:color="auto" w:fill="B2B2B2"/>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Arial" w:cs="Arial" w:eastAsia="Arial" w:hAnsi="Arial"/>
                <w:sz w:val="16"/>
                <w:szCs w:val="16"/>
                <w:color w:val="0000FF"/>
              </w:rPr>
              <w:t>Item 5.</w:t>
            </w:r>
          </w:p>
        </w:tc>
        <w:tc>
          <w:tcPr>
            <w:tcW w:w="9780" w:type="dxa"/>
            <w:vAlign w:val="bottom"/>
            <w:gridSpan w:val="32"/>
          </w:tcPr>
          <w:p>
            <w:pPr>
              <w:ind w:left="120"/>
              <w:spacing w:after="0"/>
              <w:rPr>
                <w:sz w:val="20"/>
                <w:szCs w:val="20"/>
                <w:color w:val="auto"/>
              </w:rPr>
            </w:pPr>
            <w:r>
              <w:rPr>
                <w:rFonts w:ascii="Arial" w:cs="Arial" w:eastAsia="Arial" w:hAnsi="Arial"/>
                <w:sz w:val="16"/>
                <w:szCs w:val="16"/>
                <w:color w:val="0000FF"/>
              </w:rPr>
              <w:t>Other Information</w:t>
            </w:r>
          </w:p>
        </w:tc>
        <w:tc>
          <w:tcPr>
            <w:tcW w:w="640" w:type="dxa"/>
            <w:vAlign w:val="bottom"/>
            <w:gridSpan w:val="3"/>
          </w:tcPr>
          <w:p>
            <w:pPr>
              <w:jc w:val="right"/>
              <w:ind w:right="20"/>
              <w:spacing w:after="0"/>
              <w:rPr>
                <w:sz w:val="20"/>
                <w:szCs w:val="20"/>
                <w:color w:val="auto"/>
              </w:rPr>
            </w:pPr>
            <w:r>
              <w:rPr>
                <w:rFonts w:ascii="Arial" w:cs="Arial" w:eastAsia="Arial" w:hAnsi="Arial"/>
                <w:sz w:val="16"/>
                <w:szCs w:val="16"/>
                <w:color w:val="0000FF"/>
              </w:rPr>
              <w:t>39</w:t>
            </w:r>
          </w:p>
        </w:tc>
        <w:tc>
          <w:tcPr>
            <w:tcW w:w="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r>
      <w:tr>
        <w:trPr>
          <w:trHeight w:val="223"/>
        </w:trPr>
        <w:tc>
          <w:tcPr>
            <w:tcW w:w="20" w:type="dxa"/>
            <w:vAlign w:val="bottom"/>
            <w:shd w:val="clear" w:color="auto" w:fill="B2B2B2"/>
          </w:tcPr>
          <w:p>
            <w:pPr>
              <w:spacing w:after="0"/>
              <w:rPr>
                <w:sz w:val="19"/>
                <w:szCs w:val="19"/>
                <w:color w:val="auto"/>
              </w:rPr>
            </w:pPr>
          </w:p>
        </w:tc>
        <w:tc>
          <w:tcPr>
            <w:tcW w:w="740" w:type="dxa"/>
            <w:vAlign w:val="bottom"/>
            <w:gridSpan w:val="3"/>
            <w:shd w:val="clear" w:color="auto" w:fill="B2B2B2"/>
          </w:tcPr>
          <w:p>
            <w:pPr>
              <w:spacing w:after="0"/>
              <w:rPr>
                <w:sz w:val="20"/>
                <w:szCs w:val="20"/>
                <w:color w:val="auto"/>
              </w:rPr>
            </w:pPr>
            <w:r>
              <w:rPr>
                <w:rFonts w:ascii="Arial" w:cs="Arial" w:eastAsia="Arial" w:hAnsi="Arial"/>
                <w:sz w:val="16"/>
                <w:szCs w:val="16"/>
                <w:color w:val="0000FF"/>
              </w:rPr>
              <w:t>Item 6.</w:t>
            </w:r>
          </w:p>
        </w:tc>
        <w:tc>
          <w:tcPr>
            <w:tcW w:w="9780" w:type="dxa"/>
            <w:vAlign w:val="bottom"/>
            <w:gridSpan w:val="32"/>
            <w:shd w:val="clear" w:color="auto" w:fill="B2B2B2"/>
          </w:tcPr>
          <w:p>
            <w:pPr>
              <w:ind w:left="120"/>
              <w:spacing w:after="0"/>
              <w:rPr>
                <w:sz w:val="20"/>
                <w:szCs w:val="20"/>
                <w:color w:val="auto"/>
              </w:rPr>
            </w:pPr>
            <w:r>
              <w:rPr>
                <w:rFonts w:ascii="Arial" w:cs="Arial" w:eastAsia="Arial" w:hAnsi="Arial"/>
                <w:sz w:val="16"/>
                <w:szCs w:val="16"/>
                <w:color w:val="0000FF"/>
              </w:rPr>
              <w:t>Exhibits</w:t>
            </w:r>
          </w:p>
        </w:tc>
        <w:tc>
          <w:tcPr>
            <w:tcW w:w="640" w:type="dxa"/>
            <w:vAlign w:val="bottom"/>
            <w:tcBorders>
              <w:right w:val="single" w:sz="8" w:color="B2B2B2"/>
            </w:tcBorders>
            <w:gridSpan w:val="3"/>
            <w:shd w:val="clear" w:color="auto" w:fill="B2B2B2"/>
          </w:tcPr>
          <w:p>
            <w:pPr>
              <w:jc w:val="right"/>
              <w:ind w:right="20"/>
              <w:spacing w:after="0"/>
              <w:rPr>
                <w:sz w:val="20"/>
                <w:szCs w:val="20"/>
                <w:color w:val="auto"/>
              </w:rPr>
            </w:pPr>
            <w:r>
              <w:rPr>
                <w:rFonts w:ascii="Arial" w:cs="Arial" w:eastAsia="Arial" w:hAnsi="Arial"/>
                <w:sz w:val="16"/>
                <w:szCs w:val="16"/>
                <w:color w:val="0000FF"/>
              </w:rPr>
              <w:t>40</w:t>
            </w:r>
          </w:p>
        </w:tc>
        <w:tc>
          <w:tcPr>
            <w:tcW w:w="60" w:type="dxa"/>
            <w:vAlign w:val="bottom"/>
          </w:tcPr>
          <w:p>
            <w:pPr>
              <w:spacing w:after="0"/>
              <w:rPr>
                <w:sz w:val="19"/>
                <w:szCs w:val="19"/>
                <w:color w:val="auto"/>
              </w:rPr>
            </w:pPr>
          </w:p>
        </w:tc>
      </w:tr>
      <w:tr>
        <w:trPr>
          <w:trHeight w:val="1006"/>
        </w:trPr>
        <w:tc>
          <w:tcPr>
            <w:tcW w:w="20" w:type="dxa"/>
            <w:vAlign w:val="bottom"/>
            <w:tcBorders>
              <w:top w:val="single" w:sz="8" w:color="B2B2B2"/>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B2B2B2"/>
              <w:bottom w:val="single" w:sz="8" w:color="9A9A9A"/>
            </w:tcBorders>
          </w:tcPr>
          <w:p>
            <w:pPr>
              <w:spacing w:after="0"/>
              <w:rPr>
                <w:sz w:val="24"/>
                <w:szCs w:val="24"/>
                <w:color w:val="auto"/>
              </w:rPr>
            </w:pPr>
          </w:p>
        </w:tc>
        <w:tc>
          <w:tcPr>
            <w:tcW w:w="140" w:type="dxa"/>
            <w:vAlign w:val="bottom"/>
            <w:tcBorders>
              <w:top w:val="single" w:sz="8" w:color="B2B2B2"/>
              <w:bottom w:val="single" w:sz="8" w:color="9A9A9A"/>
            </w:tcBorders>
          </w:tcPr>
          <w:p>
            <w:pPr>
              <w:spacing w:after="0"/>
              <w:rPr>
                <w:sz w:val="24"/>
                <w:szCs w:val="24"/>
                <w:color w:val="auto"/>
              </w:rPr>
            </w:pPr>
          </w:p>
        </w:tc>
        <w:tc>
          <w:tcPr>
            <w:tcW w:w="120" w:type="dxa"/>
            <w:vAlign w:val="bottom"/>
            <w:tcBorders>
              <w:top w:val="single" w:sz="8" w:color="B2B2B2"/>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B2B2B2"/>
              <w:bottom w:val="single" w:sz="8" w:color="9A9A9A"/>
            </w:tcBorders>
          </w:tcPr>
          <w:p>
            <w:pPr>
              <w:spacing w:after="0"/>
              <w:rPr>
                <w:sz w:val="24"/>
                <w:szCs w:val="24"/>
                <w:color w:val="auto"/>
              </w:rPr>
            </w:pPr>
          </w:p>
        </w:tc>
        <w:tc>
          <w:tcPr>
            <w:tcW w:w="360" w:type="dxa"/>
            <w:vAlign w:val="bottom"/>
            <w:tcBorders>
              <w:top w:val="single" w:sz="8" w:color="B2B2B2"/>
              <w:bottom w:val="single" w:sz="8" w:color="9A9A9A"/>
            </w:tcBorders>
          </w:tcPr>
          <w:p>
            <w:pPr>
              <w:spacing w:after="0"/>
              <w:rPr>
                <w:sz w:val="24"/>
                <w:szCs w:val="24"/>
                <w:color w:val="auto"/>
              </w:rPr>
            </w:pPr>
          </w:p>
        </w:tc>
        <w:tc>
          <w:tcPr>
            <w:tcW w:w="80" w:type="dxa"/>
            <w:vAlign w:val="bottom"/>
            <w:tcBorders>
              <w:top w:val="single" w:sz="8" w:color="B2B2B2"/>
              <w:bottom w:val="single" w:sz="8" w:color="9A9A9A"/>
            </w:tcBorders>
          </w:tcPr>
          <w:p>
            <w:pPr>
              <w:spacing w:after="0"/>
              <w:rPr>
                <w:sz w:val="24"/>
                <w:szCs w:val="24"/>
                <w:color w:val="auto"/>
              </w:rPr>
            </w:pPr>
          </w:p>
        </w:tc>
        <w:tc>
          <w:tcPr>
            <w:tcW w:w="160" w:type="dxa"/>
            <w:vAlign w:val="bottom"/>
            <w:tcBorders>
              <w:top w:val="single" w:sz="8" w:color="B2B2B2"/>
              <w:bottom w:val="single" w:sz="8" w:color="9A9A9A"/>
            </w:tcBorders>
          </w:tcPr>
          <w:p>
            <w:pPr>
              <w:spacing w:after="0"/>
              <w:rPr>
                <w:sz w:val="24"/>
                <w:szCs w:val="24"/>
                <w:color w:val="auto"/>
              </w:rPr>
            </w:pPr>
          </w:p>
        </w:tc>
        <w:tc>
          <w:tcPr>
            <w:tcW w:w="240" w:type="dxa"/>
            <w:vAlign w:val="bottom"/>
            <w:tcBorders>
              <w:top w:val="single" w:sz="8" w:color="B2B2B2"/>
              <w:bottom w:val="single" w:sz="8" w:color="9A9A9A"/>
            </w:tcBorders>
          </w:tcPr>
          <w:p>
            <w:pPr>
              <w:spacing w:after="0"/>
              <w:rPr>
                <w:sz w:val="24"/>
                <w:szCs w:val="24"/>
                <w:color w:val="auto"/>
              </w:rPr>
            </w:pPr>
          </w:p>
        </w:tc>
        <w:tc>
          <w:tcPr>
            <w:tcW w:w="40" w:type="dxa"/>
            <w:vAlign w:val="bottom"/>
            <w:tcBorders>
              <w:top w:val="single" w:sz="8" w:color="B2B2B2"/>
              <w:bottom w:val="single" w:sz="8" w:color="9A9A9A"/>
            </w:tcBorders>
          </w:tcPr>
          <w:p>
            <w:pPr>
              <w:spacing w:after="0"/>
              <w:rPr>
                <w:sz w:val="24"/>
                <w:szCs w:val="24"/>
                <w:color w:val="auto"/>
              </w:rPr>
            </w:pPr>
          </w:p>
        </w:tc>
        <w:tc>
          <w:tcPr>
            <w:tcW w:w="220" w:type="dxa"/>
            <w:vAlign w:val="bottom"/>
            <w:tcBorders>
              <w:top w:val="single" w:sz="8" w:color="B2B2B2"/>
              <w:bottom w:val="single" w:sz="8" w:color="9A9A9A"/>
            </w:tcBorders>
          </w:tcPr>
          <w:p>
            <w:pPr>
              <w:spacing w:after="0"/>
              <w:rPr>
                <w:sz w:val="24"/>
                <w:szCs w:val="24"/>
                <w:color w:val="auto"/>
              </w:rPr>
            </w:pPr>
          </w:p>
        </w:tc>
        <w:tc>
          <w:tcPr>
            <w:tcW w:w="260" w:type="dxa"/>
            <w:vAlign w:val="bottom"/>
            <w:tcBorders>
              <w:top w:val="single" w:sz="8" w:color="B2B2B2"/>
              <w:bottom w:val="single" w:sz="8" w:color="9A9A9A"/>
            </w:tcBorders>
          </w:tcPr>
          <w:p>
            <w:pPr>
              <w:spacing w:after="0"/>
              <w:rPr>
                <w:sz w:val="24"/>
                <w:szCs w:val="24"/>
                <w:color w:val="auto"/>
              </w:rPr>
            </w:pPr>
          </w:p>
        </w:tc>
        <w:tc>
          <w:tcPr>
            <w:tcW w:w="260" w:type="dxa"/>
            <w:vAlign w:val="bottom"/>
            <w:tcBorders>
              <w:top w:val="single" w:sz="8" w:color="B2B2B2"/>
              <w:bottom w:val="single" w:sz="8" w:color="9A9A9A"/>
            </w:tcBorders>
          </w:tcPr>
          <w:p>
            <w:pPr>
              <w:spacing w:after="0"/>
              <w:rPr>
                <w:sz w:val="24"/>
                <w:szCs w:val="24"/>
                <w:color w:val="auto"/>
              </w:rPr>
            </w:pPr>
          </w:p>
        </w:tc>
        <w:tc>
          <w:tcPr>
            <w:tcW w:w="180" w:type="dxa"/>
            <w:vAlign w:val="bottom"/>
            <w:tcBorders>
              <w:top w:val="single" w:sz="8" w:color="B2B2B2"/>
              <w:bottom w:val="single" w:sz="8" w:color="9A9A9A"/>
            </w:tcBorders>
          </w:tcPr>
          <w:p>
            <w:pPr>
              <w:spacing w:after="0"/>
              <w:rPr>
                <w:sz w:val="24"/>
                <w:szCs w:val="24"/>
                <w:color w:val="auto"/>
              </w:rPr>
            </w:pPr>
          </w:p>
        </w:tc>
        <w:tc>
          <w:tcPr>
            <w:tcW w:w="240" w:type="dxa"/>
            <w:vAlign w:val="bottom"/>
            <w:tcBorders>
              <w:top w:val="single" w:sz="8" w:color="B2B2B2"/>
              <w:bottom w:val="single" w:sz="8" w:color="9A9A9A"/>
            </w:tcBorders>
          </w:tcPr>
          <w:p>
            <w:pPr>
              <w:spacing w:after="0"/>
              <w:rPr>
                <w:sz w:val="24"/>
                <w:szCs w:val="24"/>
                <w:color w:val="auto"/>
              </w:rPr>
            </w:pPr>
          </w:p>
        </w:tc>
        <w:tc>
          <w:tcPr>
            <w:tcW w:w="100" w:type="dxa"/>
            <w:vAlign w:val="bottom"/>
            <w:tcBorders>
              <w:top w:val="single" w:sz="8" w:color="B2B2B2"/>
              <w:bottom w:val="single" w:sz="8" w:color="9A9A9A"/>
            </w:tcBorders>
          </w:tcPr>
          <w:p>
            <w:pPr>
              <w:spacing w:after="0"/>
              <w:rPr>
                <w:sz w:val="24"/>
                <w:szCs w:val="24"/>
                <w:color w:val="auto"/>
              </w:rPr>
            </w:pPr>
          </w:p>
        </w:tc>
        <w:tc>
          <w:tcPr>
            <w:tcW w:w="200" w:type="dxa"/>
            <w:vAlign w:val="bottom"/>
            <w:tcBorders>
              <w:top w:val="single" w:sz="8" w:color="B2B2B2"/>
              <w:bottom w:val="single" w:sz="8" w:color="9A9A9A"/>
            </w:tcBorders>
          </w:tcPr>
          <w:p>
            <w:pPr>
              <w:spacing w:after="0"/>
              <w:rPr>
                <w:sz w:val="24"/>
                <w:szCs w:val="24"/>
                <w:color w:val="auto"/>
              </w:rPr>
            </w:pPr>
          </w:p>
        </w:tc>
        <w:tc>
          <w:tcPr>
            <w:tcW w:w="540" w:type="dxa"/>
            <w:vAlign w:val="bottom"/>
            <w:tcBorders>
              <w:top w:val="single" w:sz="8" w:color="B2B2B2"/>
              <w:bottom w:val="single" w:sz="8" w:color="9A9A9A"/>
            </w:tcBorders>
          </w:tcPr>
          <w:p>
            <w:pPr>
              <w:spacing w:after="0"/>
              <w:rPr>
                <w:sz w:val="24"/>
                <w:szCs w:val="24"/>
                <w:color w:val="auto"/>
              </w:rPr>
            </w:pPr>
          </w:p>
        </w:tc>
        <w:tc>
          <w:tcPr>
            <w:tcW w:w="20" w:type="dxa"/>
            <w:vAlign w:val="bottom"/>
            <w:tcBorders>
              <w:top w:val="single" w:sz="8" w:color="B2B2B2"/>
              <w:bottom w:val="single" w:sz="8" w:color="9A9A9A"/>
            </w:tcBorders>
          </w:tcPr>
          <w:p>
            <w:pPr>
              <w:spacing w:after="0"/>
              <w:rPr>
                <w:sz w:val="24"/>
                <w:szCs w:val="24"/>
                <w:color w:val="auto"/>
              </w:rPr>
            </w:pPr>
          </w:p>
        </w:tc>
        <w:tc>
          <w:tcPr>
            <w:tcW w:w="180" w:type="dxa"/>
            <w:vAlign w:val="bottom"/>
            <w:tcBorders>
              <w:top w:val="single" w:sz="8" w:color="B2B2B2"/>
              <w:bottom w:val="single" w:sz="8" w:color="9A9A9A"/>
            </w:tcBorders>
          </w:tcPr>
          <w:p>
            <w:pPr>
              <w:spacing w:after="0"/>
              <w:rPr>
                <w:sz w:val="24"/>
                <w:szCs w:val="24"/>
                <w:color w:val="auto"/>
              </w:rPr>
            </w:pPr>
          </w:p>
        </w:tc>
        <w:tc>
          <w:tcPr>
            <w:tcW w:w="240" w:type="dxa"/>
            <w:vAlign w:val="bottom"/>
            <w:tcBorders>
              <w:top w:val="single" w:sz="8" w:color="B2B2B2"/>
              <w:bottom w:val="single" w:sz="8" w:color="9A9A9A"/>
            </w:tcBorders>
          </w:tcPr>
          <w:p>
            <w:pPr>
              <w:spacing w:after="0"/>
              <w:rPr>
                <w:sz w:val="24"/>
                <w:szCs w:val="24"/>
                <w:color w:val="auto"/>
              </w:rPr>
            </w:pPr>
          </w:p>
        </w:tc>
        <w:tc>
          <w:tcPr>
            <w:tcW w:w="120" w:type="dxa"/>
            <w:vAlign w:val="bottom"/>
            <w:tcBorders>
              <w:top w:val="single" w:sz="8" w:color="B2B2B2"/>
              <w:bottom w:val="single" w:sz="8" w:color="9A9A9A"/>
            </w:tcBorders>
          </w:tcPr>
          <w:p>
            <w:pPr>
              <w:spacing w:after="0"/>
              <w:rPr>
                <w:sz w:val="24"/>
                <w:szCs w:val="24"/>
                <w:color w:val="auto"/>
              </w:rPr>
            </w:pPr>
          </w:p>
        </w:tc>
        <w:tc>
          <w:tcPr>
            <w:tcW w:w="20" w:type="dxa"/>
            <w:vAlign w:val="bottom"/>
            <w:tcBorders>
              <w:top w:val="single" w:sz="8" w:color="B2B2B2"/>
              <w:bottom w:val="single" w:sz="8" w:color="9A9A9A"/>
            </w:tcBorders>
          </w:tcPr>
          <w:p>
            <w:pPr>
              <w:spacing w:after="0"/>
              <w:rPr>
                <w:sz w:val="24"/>
                <w:szCs w:val="24"/>
                <w:color w:val="auto"/>
              </w:rPr>
            </w:pPr>
          </w:p>
        </w:tc>
        <w:tc>
          <w:tcPr>
            <w:tcW w:w="500" w:type="dxa"/>
            <w:vAlign w:val="bottom"/>
            <w:tcBorders>
              <w:top w:val="single" w:sz="8" w:color="B2B2B2"/>
              <w:bottom w:val="single" w:sz="8" w:color="9A9A9A"/>
            </w:tcBorders>
          </w:tcPr>
          <w:p>
            <w:pPr>
              <w:spacing w:after="0"/>
              <w:rPr>
                <w:sz w:val="24"/>
                <w:szCs w:val="24"/>
                <w:color w:val="auto"/>
              </w:rPr>
            </w:pPr>
          </w:p>
        </w:tc>
        <w:tc>
          <w:tcPr>
            <w:tcW w:w="80" w:type="dxa"/>
            <w:vAlign w:val="bottom"/>
            <w:tcBorders>
              <w:top w:val="single" w:sz="8" w:color="B2B2B2"/>
              <w:bottom w:val="single" w:sz="8" w:color="9A9A9A"/>
            </w:tcBorders>
          </w:tcPr>
          <w:p>
            <w:pPr>
              <w:spacing w:after="0"/>
              <w:rPr>
                <w:sz w:val="24"/>
                <w:szCs w:val="24"/>
                <w:color w:val="auto"/>
              </w:rPr>
            </w:pPr>
          </w:p>
        </w:tc>
        <w:tc>
          <w:tcPr>
            <w:tcW w:w="900" w:type="dxa"/>
            <w:vAlign w:val="bottom"/>
            <w:tcBorders>
              <w:top w:val="single" w:sz="8" w:color="B2B2B2"/>
              <w:bottom w:val="single" w:sz="8" w:color="9A9A9A"/>
            </w:tcBorders>
          </w:tcPr>
          <w:p>
            <w:pPr>
              <w:spacing w:after="0"/>
              <w:rPr>
                <w:sz w:val="24"/>
                <w:szCs w:val="24"/>
                <w:color w:val="auto"/>
              </w:rPr>
            </w:pPr>
          </w:p>
        </w:tc>
        <w:tc>
          <w:tcPr>
            <w:tcW w:w="160" w:type="dxa"/>
            <w:vAlign w:val="bottom"/>
            <w:tcBorders>
              <w:top w:val="single" w:sz="8" w:color="B2B2B2"/>
              <w:bottom w:val="single" w:sz="8" w:color="9A9A9A"/>
            </w:tcBorders>
          </w:tcPr>
          <w:p>
            <w:pPr>
              <w:spacing w:after="0"/>
              <w:rPr>
                <w:sz w:val="24"/>
                <w:szCs w:val="24"/>
                <w:color w:val="auto"/>
              </w:rPr>
            </w:pPr>
          </w:p>
        </w:tc>
        <w:tc>
          <w:tcPr>
            <w:tcW w:w="200" w:type="dxa"/>
            <w:vAlign w:val="bottom"/>
            <w:tcBorders>
              <w:top w:val="single" w:sz="8" w:color="B2B2B2"/>
              <w:bottom w:val="single" w:sz="8" w:color="9A9A9A"/>
            </w:tcBorders>
          </w:tcPr>
          <w:p>
            <w:pPr>
              <w:spacing w:after="0"/>
              <w:rPr>
                <w:sz w:val="24"/>
                <w:szCs w:val="24"/>
                <w:color w:val="auto"/>
              </w:rPr>
            </w:pPr>
          </w:p>
        </w:tc>
        <w:tc>
          <w:tcPr>
            <w:tcW w:w="120" w:type="dxa"/>
            <w:vAlign w:val="bottom"/>
            <w:tcBorders>
              <w:top w:val="single" w:sz="8" w:color="B2B2B2"/>
              <w:bottom w:val="single" w:sz="8" w:color="9A9A9A"/>
            </w:tcBorders>
          </w:tcPr>
          <w:p>
            <w:pPr>
              <w:spacing w:after="0"/>
              <w:rPr>
                <w:sz w:val="24"/>
                <w:szCs w:val="24"/>
                <w:color w:val="auto"/>
              </w:rPr>
            </w:pPr>
          </w:p>
        </w:tc>
        <w:tc>
          <w:tcPr>
            <w:tcW w:w="40" w:type="dxa"/>
            <w:vAlign w:val="bottom"/>
            <w:tcBorders>
              <w:top w:val="single" w:sz="8" w:color="B2B2B2"/>
              <w:bottom w:val="single" w:sz="8" w:color="9A9A9A"/>
            </w:tcBorders>
          </w:tcPr>
          <w:p>
            <w:pPr>
              <w:spacing w:after="0"/>
              <w:rPr>
                <w:sz w:val="24"/>
                <w:szCs w:val="24"/>
                <w:color w:val="auto"/>
              </w:rPr>
            </w:pPr>
          </w:p>
        </w:tc>
        <w:tc>
          <w:tcPr>
            <w:tcW w:w="320" w:type="dxa"/>
            <w:vAlign w:val="bottom"/>
            <w:tcBorders>
              <w:top w:val="single" w:sz="8" w:color="B2B2B2"/>
              <w:bottom w:val="single" w:sz="8" w:color="9A9A9A"/>
            </w:tcBorders>
          </w:tcPr>
          <w:p>
            <w:pPr>
              <w:spacing w:after="0"/>
              <w:rPr>
                <w:sz w:val="24"/>
                <w:szCs w:val="24"/>
                <w:color w:val="auto"/>
              </w:rPr>
            </w:pPr>
          </w:p>
        </w:tc>
        <w:tc>
          <w:tcPr>
            <w:tcW w:w="800" w:type="dxa"/>
            <w:vAlign w:val="bottom"/>
            <w:tcBorders>
              <w:top w:val="single" w:sz="8" w:color="B2B2B2"/>
              <w:bottom w:val="single" w:sz="8" w:color="9A9A9A"/>
            </w:tcBorders>
          </w:tcPr>
          <w:p>
            <w:pPr>
              <w:spacing w:after="0"/>
              <w:rPr>
                <w:sz w:val="24"/>
                <w:szCs w:val="24"/>
                <w:color w:val="auto"/>
              </w:rPr>
            </w:pPr>
          </w:p>
        </w:tc>
        <w:tc>
          <w:tcPr>
            <w:tcW w:w="360" w:type="dxa"/>
            <w:vAlign w:val="bottom"/>
            <w:tcBorders>
              <w:top w:val="single" w:sz="8" w:color="B2B2B2"/>
              <w:bottom w:val="single" w:sz="8" w:color="9A9A9A"/>
            </w:tcBorders>
          </w:tcPr>
          <w:p>
            <w:pPr>
              <w:spacing w:after="0"/>
              <w:rPr>
                <w:sz w:val="24"/>
                <w:szCs w:val="24"/>
                <w:color w:val="auto"/>
              </w:rPr>
            </w:pPr>
          </w:p>
        </w:tc>
        <w:tc>
          <w:tcPr>
            <w:tcW w:w="1820" w:type="dxa"/>
            <w:vAlign w:val="bottom"/>
            <w:tcBorders>
              <w:top w:val="single" w:sz="8" w:color="B2B2B2"/>
              <w:bottom w:val="single" w:sz="8" w:color="9A9A9A"/>
            </w:tcBorders>
          </w:tcPr>
          <w:p>
            <w:pPr>
              <w:spacing w:after="0"/>
              <w:rPr>
                <w:sz w:val="24"/>
                <w:szCs w:val="24"/>
                <w:color w:val="auto"/>
              </w:rPr>
            </w:pPr>
          </w:p>
        </w:tc>
        <w:tc>
          <w:tcPr>
            <w:tcW w:w="440" w:type="dxa"/>
            <w:vAlign w:val="bottom"/>
            <w:tcBorders>
              <w:top w:val="single" w:sz="8" w:color="B2B2B2"/>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ALBANY INTERNATIONAL CORP.</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20" w:type="dxa"/>
            <w:vAlign w:val="bottom"/>
            <w:gridSpan w:val="4"/>
          </w:tcPr>
          <w:p>
            <w:pPr>
              <w:jc w:val="right"/>
              <w:ind w:right="459"/>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6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6"/>
                <w:szCs w:val="16"/>
                <w:color w:val="auto"/>
              </w:rPr>
            </w:pPr>
          </w:p>
        </w:tc>
        <w:tc>
          <w:tcPr>
            <w:tcW w:w="2120" w:type="dxa"/>
            <w:vAlign w:val="bottom"/>
            <w:gridSpan w:val="4"/>
          </w:tcPr>
          <w:p>
            <w:pPr>
              <w:jc w:val="right"/>
              <w:ind w:right="639"/>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62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2025</w:t>
            </w:r>
          </w:p>
        </w:tc>
      </w:tr>
      <w:tr>
        <w:trPr>
          <w:trHeight w:val="211"/>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349,539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261,434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990,354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861,607</w:t>
            </w:r>
          </w:p>
        </w:tc>
      </w:tr>
      <w:tr>
        <w:trPr>
          <w:trHeight w:val="215"/>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209,161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311,372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642,281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717,552</w:t>
            </w:r>
          </w:p>
        </w:tc>
      </w:tr>
      <w:tr>
        <w:trPr>
          <w:trHeight w:val="197"/>
        </w:trPr>
        <w:tc>
          <w:tcPr>
            <w:tcW w:w="6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5"/>
        </w:trPr>
        <w:tc>
          <w:tcPr>
            <w:tcW w:w="6200" w:type="dxa"/>
            <w:vAlign w:val="bottom"/>
          </w:tcPr>
          <w:p>
            <w:pPr>
              <w:ind w:left="20"/>
              <w:spacing w:after="0"/>
              <w:rPr>
                <w:sz w:val="20"/>
                <w:szCs w:val="20"/>
                <w:color w:val="auto"/>
              </w:rPr>
            </w:pPr>
            <w:r>
              <w:rPr>
                <w:rFonts w:ascii="Arial" w:cs="Arial" w:eastAsia="Arial" w:hAnsi="Arial"/>
                <w:sz w:val="16"/>
                <w:szCs w:val="16"/>
                <w:color w:val="auto"/>
              </w:rPr>
              <w:t>Gross profit/(loss)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140,378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(49,938)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348,073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144,055</w:t>
            </w:r>
          </w:p>
        </w:tc>
      </w:tr>
      <w:tr>
        <w:trPr>
          <w:trHeight w:val="217"/>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61,501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51,905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175,868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164,219</w:t>
            </w:r>
          </w:p>
        </w:tc>
      </w:tr>
      <w:tr>
        <w:trPr>
          <w:trHeight w:val="215"/>
        </w:trPr>
        <w:tc>
          <w:tcPr>
            <w:tcW w:w="6200" w:type="dxa"/>
            <w:vAlign w:val="bottom"/>
          </w:tcPr>
          <w:p>
            <w:pPr>
              <w:ind w:left="20"/>
              <w:spacing w:after="0"/>
              <w:rPr>
                <w:sz w:val="20"/>
                <w:szCs w:val="20"/>
                <w:color w:val="auto"/>
              </w:rPr>
            </w:pPr>
            <w:r>
              <w:rPr>
                <w:rFonts w:ascii="Arial" w:cs="Arial" w:eastAsia="Arial" w:hAnsi="Arial"/>
                <w:sz w:val="16"/>
                <w:szCs w:val="16"/>
                <w:color w:val="auto"/>
              </w:rPr>
              <w:t>Technical and research expenses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12,186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11,467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36,865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35,915</w:t>
            </w: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expenses, net</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7,293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18,431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9,895</w:t>
            </w:r>
          </w:p>
        </w:tc>
      </w:tr>
      <w:tr>
        <w:trPr>
          <w:trHeight w:val="197"/>
        </w:trPr>
        <w:tc>
          <w:tcPr>
            <w:tcW w:w="6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income/(loss)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59,398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(116,507)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116,909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(65,974)</w:t>
            </w:r>
          </w:p>
        </w:tc>
      </w:tr>
      <w:tr>
        <w:trPr>
          <w:trHeight w:val="215"/>
        </w:trPr>
        <w:tc>
          <w:tcPr>
            <w:tcW w:w="620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5,337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5,897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16,872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14,702</w:t>
            </w: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expense/(income), net</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(4,881)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4,170</w:t>
            </w:r>
          </w:p>
        </w:tc>
      </w:tr>
      <w:tr>
        <w:trPr>
          <w:trHeight w:val="197"/>
        </w:trPr>
        <w:tc>
          <w:tcPr>
            <w:tcW w:w="6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Income/(loss) before income taxes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55,788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(122,057)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104,918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(84,846)</w:t>
            </w:r>
          </w:p>
        </w:tc>
      </w:tr>
      <w:tr>
        <w:trPr>
          <w:trHeight w:val="215"/>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expense/(benefit)</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13,902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(24,419)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29,879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(13,889)</w:t>
            </w:r>
          </w:p>
        </w:tc>
      </w:tr>
      <w:tr>
        <w:trPr>
          <w:trHeight w:val="197"/>
        </w:trPr>
        <w:tc>
          <w:tcPr>
            <w:tcW w:w="6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5"/>
        </w:trPr>
        <w:tc>
          <w:tcPr>
            <w:tcW w:w="620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41,886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(97,638)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75,039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(70,957)</w:t>
            </w: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the noncontrolling interest</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w:t>
            </w:r>
          </w:p>
        </w:tc>
      </w:tr>
      <w:tr>
        <w:trPr>
          <w:trHeight w:val="210"/>
        </w:trPr>
        <w:tc>
          <w:tcPr>
            <w:tcW w:w="6200" w:type="dxa"/>
            <w:vAlign w:val="bottom"/>
          </w:tcPr>
          <w:p>
            <w:pPr>
              <w:ind w:left="20"/>
              <w:spacing w:after="0"/>
              <w:rPr>
                <w:sz w:val="20"/>
                <w:szCs w:val="20"/>
                <w:color w:val="auto"/>
              </w:rPr>
            </w:pPr>
            <w:r>
              <w:rPr>
                <w:rFonts w:ascii="Arial" w:cs="Arial" w:eastAsia="Arial" w:hAnsi="Arial"/>
                <w:sz w:val="16"/>
                <w:szCs w:val="16"/>
                <w:color w:val="auto"/>
              </w:rPr>
              <w:t>Net income (loss) attributable to the Company</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41,697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(97,760)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74,392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(71,222)</w:t>
            </w: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83"/>
        </w:trPr>
        <w:tc>
          <w:tcPr>
            <w:tcW w:w="6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15"/>
        </w:trPr>
        <w:tc>
          <w:tcPr>
            <w:tcW w:w="6200" w:type="dxa"/>
            <w:vAlign w:val="bottom"/>
          </w:tcPr>
          <w:p>
            <w:pPr>
              <w:ind w:left="20"/>
              <w:spacing w:after="0"/>
              <w:rPr>
                <w:sz w:val="20"/>
                <w:szCs w:val="20"/>
                <w:color w:val="auto"/>
              </w:rPr>
            </w:pPr>
            <w:r>
              <w:rPr>
                <w:rFonts w:ascii="Arial" w:cs="Arial" w:eastAsia="Arial" w:hAnsi="Arial"/>
                <w:sz w:val="16"/>
                <w:szCs w:val="16"/>
                <w:color w:val="auto"/>
              </w:rPr>
              <w:t>Earnings/(loss) per share attributable to Company shareholders - Basic</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(3.37)</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2.62</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(2.38)</w:t>
            </w:r>
          </w:p>
        </w:tc>
      </w:tr>
      <w:tr>
        <w:trPr>
          <w:trHeight w:val="217"/>
        </w:trPr>
        <w:tc>
          <w:tcPr>
            <w:tcW w:w="6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5"/>
        </w:trPr>
        <w:tc>
          <w:tcPr>
            <w:tcW w:w="6200" w:type="dxa"/>
            <w:vAlign w:val="bottom"/>
          </w:tcPr>
          <w:p>
            <w:pPr>
              <w:ind w:left="20"/>
              <w:spacing w:after="0"/>
              <w:rPr>
                <w:sz w:val="20"/>
                <w:szCs w:val="20"/>
                <w:color w:val="auto"/>
              </w:rPr>
            </w:pPr>
            <w:r>
              <w:rPr>
                <w:rFonts w:ascii="Arial" w:cs="Arial" w:eastAsia="Arial" w:hAnsi="Arial"/>
                <w:sz w:val="16"/>
                <w:szCs w:val="16"/>
                <w:color w:val="auto"/>
              </w:rPr>
              <w:t>Earnings /(loss) per share attributable to Company shareholders - Diluted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(3.37)</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2.60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(2.38)</w:t>
            </w:r>
          </w:p>
        </w:tc>
      </w:tr>
      <w:tr>
        <w:trPr>
          <w:trHeight w:val="217"/>
        </w:trPr>
        <w:tc>
          <w:tcPr>
            <w:tcW w:w="6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5"/>
        </w:trPr>
        <w:tc>
          <w:tcPr>
            <w:tcW w:w="6200" w:type="dxa"/>
            <w:vAlign w:val="bottom"/>
          </w:tcPr>
          <w:p>
            <w:pPr>
              <w:ind w:left="20"/>
              <w:spacing w:after="0"/>
              <w:rPr>
                <w:sz w:val="20"/>
                <w:szCs w:val="20"/>
                <w:color w:val="auto"/>
              </w:rPr>
            </w:pPr>
            <w:r>
              <w:rPr>
                <w:rFonts w:ascii="Arial" w:cs="Arial" w:eastAsia="Arial" w:hAnsi="Arial"/>
                <w:sz w:val="16"/>
                <w:szCs w:val="16"/>
                <w:color w:val="auto"/>
              </w:rPr>
              <w:t>Shares of the Company used in computing earnings per share:</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7"/>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28,377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29,012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28,353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29,914</w:t>
            </w:r>
          </w:p>
        </w:tc>
      </w:tr>
      <w:tr>
        <w:trPr>
          <w:trHeight w:val="216"/>
        </w:trPr>
        <w:tc>
          <w:tcPr>
            <w:tcW w:w="6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28,596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29,012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28,570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29,914</w:t>
            </w:r>
          </w:p>
        </w:tc>
      </w:tr>
      <w:tr>
        <w:trPr>
          <w:trHeight w:val="216"/>
        </w:trPr>
        <w:tc>
          <w:tcPr>
            <w:tcW w:w="6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declared per Class A share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0.81</w:t>
            </w:r>
          </w:p>
        </w:tc>
      </w:tr>
    </w:tbl>
    <w:p>
      <w:pPr>
        <w:spacing w:after="0" w:line="199"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4" w:right="419" w:bottom="1440" w:gutter="0" w:footer="0" w:header="0"/>
        </w:sectPr>
      </w:pPr>
    </w:p>
    <w:bookmarkStart w:id="3" w:name="page4"/>
    <w:bookmarkEnd w:id="3"/>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8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58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5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3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11"/>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income/(loss)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41,886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75,039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(70,957)</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before tax:</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40" w:type="dxa"/>
            <w:vAlign w:val="bottom"/>
          </w:tcPr>
          <w:p>
            <w:pPr>
              <w:ind w:left="140"/>
              <w:spacing w:after="0"/>
              <w:rPr>
                <w:sz w:val="20"/>
                <w:szCs w:val="20"/>
                <w:color w:val="auto"/>
              </w:rPr>
            </w:pPr>
            <w:r>
              <w:rPr>
                <w:rFonts w:ascii="Arial" w:cs="Arial" w:eastAsia="Arial" w:hAnsi="Arial"/>
                <w:sz w:val="16"/>
                <w:szCs w:val="16"/>
                <w:color w:val="auto"/>
              </w:rPr>
              <w:t>Foreign currency translation and other adjustments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(3,635)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(5,990)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55,948</w:t>
            </w:r>
          </w:p>
        </w:tc>
        <w:tc>
          <w:tcPr>
            <w:tcW w:w="0" w:type="dxa"/>
            <w:vAlign w:val="bottom"/>
          </w:tcPr>
          <w:p>
            <w:pPr>
              <w:spacing w:after="0"/>
              <w:rPr>
                <w:sz w:val="1"/>
                <w:szCs w:val="1"/>
                <w:color w:val="auto"/>
              </w:rPr>
            </w:pPr>
          </w:p>
        </w:tc>
      </w:tr>
      <w:tr>
        <w:trPr>
          <w:trHeight w:val="217"/>
        </w:trPr>
        <w:tc>
          <w:tcPr>
            <w:tcW w:w="5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Pension settlement/curtailment</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(1,600)</w:t>
            </w:r>
          </w:p>
        </w:tc>
        <w:tc>
          <w:tcPr>
            <w:tcW w:w="0" w:type="dxa"/>
            <w:vAlign w:val="bottom"/>
          </w:tcPr>
          <w:p>
            <w:pPr>
              <w:spacing w:after="0"/>
              <w:rPr>
                <w:sz w:val="1"/>
                <w:szCs w:val="1"/>
                <w:color w:val="auto"/>
              </w:rPr>
            </w:pPr>
          </w:p>
        </w:tc>
      </w:tr>
      <w:tr>
        <w:trPr>
          <w:trHeight w:val="215"/>
        </w:trPr>
        <w:tc>
          <w:tcPr>
            <w:tcW w:w="5340" w:type="dxa"/>
            <w:vAlign w:val="bottom"/>
          </w:tcPr>
          <w:p>
            <w:pPr>
              <w:ind w:left="140"/>
              <w:spacing w:after="0"/>
              <w:rPr>
                <w:sz w:val="20"/>
                <w:szCs w:val="20"/>
                <w:color w:val="auto"/>
              </w:rPr>
            </w:pPr>
            <w:r>
              <w:rPr>
                <w:rFonts w:ascii="Arial" w:cs="Arial" w:eastAsia="Arial" w:hAnsi="Arial"/>
                <w:sz w:val="16"/>
                <w:szCs w:val="16"/>
                <w:color w:val="auto"/>
              </w:rPr>
              <w:t>Amortization of pension liability adjustments: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Prior service credit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15"/>
        </w:trPr>
        <w:tc>
          <w:tcPr>
            <w:tcW w:w="5340" w:type="dxa"/>
            <w:vAlign w:val="bottom"/>
          </w:tcPr>
          <w:p>
            <w:pPr>
              <w:ind w:left="220"/>
              <w:spacing w:after="0"/>
              <w:rPr>
                <w:sz w:val="20"/>
                <w:szCs w:val="20"/>
                <w:color w:val="auto"/>
              </w:rPr>
            </w:pPr>
            <w:r>
              <w:rPr>
                <w:rFonts w:ascii="Arial" w:cs="Arial" w:eastAsia="Arial" w:hAnsi="Arial"/>
                <w:sz w:val="16"/>
                <w:szCs w:val="16"/>
                <w:color w:val="auto"/>
              </w:rPr>
              <w:t>Net actuarial loss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366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1,100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908</w:t>
            </w:r>
          </w:p>
        </w:tc>
        <w:tc>
          <w:tcPr>
            <w:tcW w:w="0" w:type="dxa"/>
            <w:vAlign w:val="bottom"/>
          </w:tcPr>
          <w:p>
            <w:pPr>
              <w:spacing w:after="0"/>
              <w:rPr>
                <w:sz w:val="1"/>
                <w:szCs w:val="1"/>
                <w:color w:val="auto"/>
              </w:rPr>
            </w:pPr>
          </w:p>
        </w:tc>
      </w:tr>
      <w:tr>
        <w:trPr>
          <w:trHeight w:val="163"/>
        </w:trPr>
        <w:tc>
          <w:tcPr>
            <w:tcW w:w="5340" w:type="dxa"/>
            <w:vAlign w:val="bottom"/>
            <w:shd w:val="clear" w:color="auto" w:fill="CCEEFF"/>
          </w:tcPr>
          <w:p>
            <w:pPr>
              <w:ind w:left="140"/>
              <w:spacing w:after="0" w:line="163" w:lineRule="exact"/>
              <w:rPr>
                <w:sz w:val="20"/>
                <w:szCs w:val="20"/>
                <w:color w:val="auto"/>
              </w:rPr>
            </w:pPr>
            <w:r>
              <w:rPr>
                <w:rFonts w:ascii="Arial" w:cs="Arial" w:eastAsia="Arial" w:hAnsi="Arial"/>
                <w:sz w:val="16"/>
                <w:szCs w:val="16"/>
                <w:color w:val="auto"/>
              </w:rPr>
              <w:t>Payments and amortization related to interest rate swaps included in</w:t>
            </w:r>
          </w:p>
        </w:tc>
        <w:tc>
          <w:tcPr>
            <w:tcW w:w="3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earnings</w:t>
            </w:r>
          </w:p>
        </w:tc>
        <w:tc>
          <w:tcPr>
            <w:tcW w:w="3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40" w:type="dxa"/>
            <w:vAlign w:val="bottom"/>
          </w:tcPr>
          <w:p>
            <w:pPr>
              <w:ind w:left="140"/>
              <w:spacing w:after="0"/>
              <w:rPr>
                <w:sz w:val="20"/>
                <w:szCs w:val="20"/>
                <w:color w:val="auto"/>
              </w:rPr>
            </w:pPr>
            <w:r>
              <w:rPr>
                <w:rFonts w:ascii="Arial" w:cs="Arial" w:eastAsia="Arial" w:hAnsi="Arial"/>
                <w:sz w:val="16"/>
                <w:szCs w:val="16"/>
                <w:color w:val="auto"/>
              </w:rPr>
              <w:t>Derivative valuation adjustment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5,156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6,834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(425)</w:t>
            </w:r>
          </w:p>
        </w:tc>
        <w:tc>
          <w:tcPr>
            <w:tcW w:w="0" w:type="dxa"/>
            <w:vAlign w:val="bottom"/>
          </w:tcPr>
          <w:p>
            <w:pPr>
              <w:spacing w:after="0"/>
              <w:rPr>
                <w:sz w:val="1"/>
                <w:szCs w:val="1"/>
                <w:color w:val="auto"/>
              </w:rPr>
            </w:pPr>
          </w:p>
        </w:tc>
      </w:tr>
      <w:tr>
        <w:trPr>
          <w:trHeight w:val="217"/>
        </w:trPr>
        <w:tc>
          <w:tcPr>
            <w:tcW w:w="5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40" w:type="dxa"/>
            <w:vAlign w:val="bottom"/>
          </w:tcPr>
          <w:p>
            <w:pPr>
              <w:ind w:left="20"/>
              <w:spacing w:after="0"/>
              <w:rPr>
                <w:sz w:val="20"/>
                <w:szCs w:val="20"/>
                <w:color w:val="auto"/>
              </w:rPr>
            </w:pPr>
            <w:r>
              <w:rPr>
                <w:rFonts w:ascii="Arial" w:cs="Arial" w:eastAsia="Arial" w:hAnsi="Arial"/>
                <w:sz w:val="16"/>
                <w:szCs w:val="16"/>
                <w:color w:val="auto"/>
              </w:rPr>
              <w:t>Income taxes related to items of other comprehensive income:</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Pension settlement/curtailment</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0" w:type="dxa"/>
            <w:vAlign w:val="bottom"/>
          </w:tcPr>
          <w:p>
            <w:pPr>
              <w:spacing w:after="0"/>
              <w:rPr>
                <w:sz w:val="1"/>
                <w:szCs w:val="1"/>
                <w:color w:val="auto"/>
              </w:rPr>
            </w:pPr>
          </w:p>
        </w:tc>
      </w:tr>
      <w:tr>
        <w:trPr>
          <w:trHeight w:val="215"/>
        </w:trPr>
        <w:tc>
          <w:tcPr>
            <w:tcW w:w="5340" w:type="dxa"/>
            <w:vAlign w:val="bottom"/>
          </w:tcPr>
          <w:p>
            <w:pPr>
              <w:ind w:left="140"/>
              <w:spacing w:after="0"/>
              <w:rPr>
                <w:sz w:val="20"/>
                <w:szCs w:val="20"/>
                <w:color w:val="auto"/>
              </w:rPr>
            </w:pPr>
            <w:r>
              <w:rPr>
                <w:rFonts w:ascii="Arial" w:cs="Arial" w:eastAsia="Arial" w:hAnsi="Arial"/>
                <w:sz w:val="16"/>
                <w:szCs w:val="16"/>
                <w:color w:val="auto"/>
              </w:rPr>
              <w:t>Amortization of prior service credit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7"/>
        </w:trPr>
        <w:tc>
          <w:tcPr>
            <w:tcW w:w="5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net actuarial loss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162"/>
        </w:trPr>
        <w:tc>
          <w:tcPr>
            <w:tcW w:w="5340" w:type="dxa"/>
            <w:vAlign w:val="bottom"/>
          </w:tcPr>
          <w:p>
            <w:pPr>
              <w:ind w:left="140"/>
              <w:spacing w:after="0" w:line="162" w:lineRule="exact"/>
              <w:rPr>
                <w:sz w:val="20"/>
                <w:szCs w:val="20"/>
                <w:color w:val="auto"/>
              </w:rPr>
            </w:pPr>
            <w:r>
              <w:rPr>
                <w:rFonts w:ascii="Arial" w:cs="Arial" w:eastAsia="Arial" w:hAnsi="Arial"/>
                <w:sz w:val="16"/>
                <w:szCs w:val="16"/>
                <w:color w:val="auto"/>
              </w:rPr>
              <w:t>Payments and amortization related to interest rate swaps included in</w:t>
            </w:r>
          </w:p>
        </w:tc>
        <w:tc>
          <w:tcPr>
            <w:tcW w:w="3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restart"/>
          </w:tcPr>
          <w:p>
            <w:pPr>
              <w:jc w:val="right"/>
              <w:ind w:right="1"/>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5"/>
        </w:trPr>
        <w:tc>
          <w:tcPr>
            <w:tcW w:w="5340" w:type="dxa"/>
            <w:vAlign w:val="bottom"/>
          </w:tcPr>
          <w:p>
            <w:pPr>
              <w:ind w:left="140"/>
              <w:spacing w:after="0"/>
              <w:rPr>
                <w:sz w:val="20"/>
                <w:szCs w:val="20"/>
                <w:color w:val="auto"/>
              </w:rPr>
            </w:pPr>
            <w:r>
              <w:rPr>
                <w:rFonts w:ascii="Arial" w:cs="Arial" w:eastAsia="Arial" w:hAnsi="Arial"/>
                <w:sz w:val="16"/>
                <w:szCs w:val="16"/>
                <w:color w:val="auto"/>
              </w:rPr>
              <w:t>earnings</w:t>
            </w:r>
          </w:p>
        </w:tc>
        <w:tc>
          <w:tcPr>
            <w:tcW w:w="3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Derivative valuation adjustment</w:t>
            </w: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(1,814)</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(2,588)</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09"/>
        </w:trPr>
        <w:tc>
          <w:tcPr>
            <w:tcW w:w="5340" w:type="dxa"/>
            <w:vAlign w:val="bottom"/>
          </w:tcPr>
          <w:p>
            <w:pPr>
              <w:ind w:left="140"/>
              <w:spacing w:after="0"/>
              <w:rPr>
                <w:sz w:val="20"/>
                <w:szCs w:val="20"/>
                <w:color w:val="auto"/>
              </w:rPr>
            </w:pPr>
            <w:r>
              <w:rPr>
                <w:rFonts w:ascii="Arial" w:cs="Arial" w:eastAsia="Arial" w:hAnsi="Arial"/>
                <w:sz w:val="16"/>
                <w:szCs w:val="16"/>
                <w:color w:val="auto"/>
              </w:rPr>
              <w:t>Comprehensive income/(loss)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41,739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(94,645)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73,753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(16,266)</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 attributable to the noncontrolling interest</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556</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10"/>
        </w:trPr>
        <w:tc>
          <w:tcPr>
            <w:tcW w:w="5340" w:type="dxa"/>
            <w:vAlign w:val="bottom"/>
          </w:tcPr>
          <w:p>
            <w:pPr>
              <w:ind w:left="20"/>
              <w:spacing w:after="0"/>
              <w:rPr>
                <w:sz w:val="20"/>
                <w:szCs w:val="20"/>
                <w:color w:val="auto"/>
              </w:rPr>
            </w:pPr>
            <w:r>
              <w:rPr>
                <w:rFonts w:ascii="Arial" w:cs="Arial" w:eastAsia="Arial" w:hAnsi="Arial"/>
                <w:sz w:val="16"/>
                <w:szCs w:val="16"/>
                <w:color w:val="auto"/>
              </w:rPr>
              <w:t>Comprehensive income/(loss) attributable to the Company</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41,690</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(94,857)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73,197</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(16,566)</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ALBANY INTERNATIONAL CORP.</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(unaudited)</w:t>
            </w: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8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center"/>
              <w:ind w:right="260"/>
              <w:spacing w:after="0" w:line="151" w:lineRule="exact"/>
              <w:rPr>
                <w:sz w:val="20"/>
                <w:szCs w:val="20"/>
                <w:color w:val="auto"/>
              </w:rPr>
            </w:pPr>
            <w:r>
              <w:rPr>
                <w:rFonts w:ascii="Arial" w:cs="Arial" w:eastAsia="Arial" w:hAnsi="Arial"/>
                <w:sz w:val="14"/>
                <w:szCs w:val="14"/>
                <w:b w:val="1"/>
                <w:bCs w:val="1"/>
                <w:color w:val="auto"/>
              </w:rPr>
              <w:t>September 30,</w:t>
            </w:r>
          </w:p>
        </w:tc>
        <w:tc>
          <w:tcPr>
            <w:tcW w:w="1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December 31, 2025</w:t>
            </w:r>
          </w:p>
        </w:tc>
        <w:tc>
          <w:tcPr>
            <w:tcW w:w="0" w:type="dxa"/>
            <w:vAlign w:val="bottom"/>
          </w:tcPr>
          <w:p>
            <w:pPr>
              <w:spacing w:after="0"/>
              <w:rPr>
                <w:sz w:val="1"/>
                <w:szCs w:val="1"/>
                <w:color w:val="auto"/>
              </w:rPr>
            </w:pPr>
          </w:p>
        </w:tc>
      </w:tr>
      <w:tr>
        <w:trPr>
          <w:trHeight w:val="189"/>
        </w:trPr>
        <w:tc>
          <w:tcPr>
            <w:tcW w:w="80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2026</w:t>
            </w:r>
          </w:p>
        </w:tc>
        <w:tc>
          <w:tcPr>
            <w:tcW w:w="14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080" w:type="dxa"/>
            <w:vAlign w:val="bottom"/>
          </w:tcPr>
          <w:p>
            <w:pPr>
              <w:ind w:left="140"/>
              <w:spacing w:after="0"/>
              <w:rPr>
                <w:sz w:val="20"/>
                <w:szCs w:val="20"/>
                <w:color w:val="auto"/>
              </w:rPr>
            </w:pPr>
            <w:r>
              <w:rPr>
                <w:rFonts w:ascii="Arial" w:cs="Arial" w:eastAsia="Arial" w:hAnsi="Arial"/>
                <w:sz w:val="14"/>
                <w:szCs w:val="14"/>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79,125</w:t>
            </w:r>
          </w:p>
        </w:tc>
        <w:tc>
          <w:tcPr>
            <w:tcW w:w="140" w:type="dxa"/>
            <w:vAlign w:val="bottom"/>
          </w:tcPr>
          <w:p>
            <w:pPr>
              <w:spacing w:after="0"/>
              <w:rPr>
                <w:sz w:val="17"/>
                <w:szCs w:val="17"/>
                <w:color w:val="auto"/>
              </w:rPr>
            </w:pPr>
          </w:p>
        </w:tc>
        <w:tc>
          <w:tcPr>
            <w:tcW w:w="380" w:type="dxa"/>
            <w:vAlign w:val="bottom"/>
          </w:tcPr>
          <w:p>
            <w:pPr>
              <w:ind w:left="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112,350</w:t>
            </w:r>
          </w:p>
        </w:tc>
        <w:tc>
          <w:tcPr>
            <w:tcW w:w="0" w:type="dxa"/>
            <w:vAlign w:val="bottom"/>
          </w:tcPr>
          <w:p>
            <w:pPr>
              <w:spacing w:after="0"/>
              <w:rPr>
                <w:sz w:val="1"/>
                <w:szCs w:val="1"/>
                <w:color w:val="auto"/>
              </w:rPr>
            </w:pPr>
          </w:p>
        </w:tc>
      </w:tr>
      <w:tr>
        <w:trPr>
          <w:trHeight w:val="207"/>
        </w:trPr>
        <w:tc>
          <w:tcPr>
            <w:tcW w:w="8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receivable, net</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277,692</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235,084</w:t>
            </w:r>
          </w:p>
        </w:tc>
        <w:tc>
          <w:tcPr>
            <w:tcW w:w="0" w:type="dxa"/>
            <w:vAlign w:val="bottom"/>
          </w:tcPr>
          <w:p>
            <w:pPr>
              <w:spacing w:after="0"/>
              <w:rPr>
                <w:sz w:val="1"/>
                <w:szCs w:val="1"/>
                <w:color w:val="auto"/>
              </w:rPr>
            </w:pPr>
          </w:p>
        </w:tc>
      </w:tr>
      <w:tr>
        <w:trPr>
          <w:trHeight w:val="198"/>
        </w:trPr>
        <w:tc>
          <w:tcPr>
            <w:tcW w:w="8080" w:type="dxa"/>
            <w:vAlign w:val="bottom"/>
          </w:tcPr>
          <w:p>
            <w:pPr>
              <w:ind w:left="140"/>
              <w:spacing w:after="0"/>
              <w:rPr>
                <w:sz w:val="20"/>
                <w:szCs w:val="20"/>
                <w:color w:val="auto"/>
              </w:rPr>
            </w:pPr>
            <w:r>
              <w:rPr>
                <w:rFonts w:ascii="Arial" w:cs="Arial" w:eastAsia="Arial" w:hAnsi="Arial"/>
                <w:sz w:val="14"/>
                <w:szCs w:val="14"/>
                <w:color w:val="auto"/>
              </w:rPr>
              <w:t>Contract assets, net</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164,438</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87,102</w:t>
            </w:r>
          </w:p>
        </w:tc>
        <w:tc>
          <w:tcPr>
            <w:tcW w:w="0" w:type="dxa"/>
            <w:vAlign w:val="bottom"/>
          </w:tcPr>
          <w:p>
            <w:pPr>
              <w:spacing w:after="0"/>
              <w:rPr>
                <w:sz w:val="1"/>
                <w:szCs w:val="1"/>
                <w:color w:val="auto"/>
              </w:rPr>
            </w:pPr>
          </w:p>
        </w:tc>
      </w:tr>
      <w:tr>
        <w:trPr>
          <w:trHeight w:val="207"/>
        </w:trPr>
        <w:tc>
          <w:tcPr>
            <w:tcW w:w="8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Inventories</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165,537</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121,589</w:t>
            </w:r>
          </w:p>
        </w:tc>
        <w:tc>
          <w:tcPr>
            <w:tcW w:w="0" w:type="dxa"/>
            <w:vAlign w:val="bottom"/>
          </w:tcPr>
          <w:p>
            <w:pPr>
              <w:spacing w:after="0"/>
              <w:rPr>
                <w:sz w:val="1"/>
                <w:szCs w:val="1"/>
                <w:color w:val="auto"/>
              </w:rPr>
            </w:pPr>
          </w:p>
        </w:tc>
      </w:tr>
      <w:tr>
        <w:trPr>
          <w:trHeight w:val="198"/>
        </w:trPr>
        <w:tc>
          <w:tcPr>
            <w:tcW w:w="8080" w:type="dxa"/>
            <w:vAlign w:val="bottom"/>
          </w:tcPr>
          <w:p>
            <w:pPr>
              <w:ind w:left="140"/>
              <w:spacing w:after="0"/>
              <w:rPr>
                <w:sz w:val="20"/>
                <w:szCs w:val="20"/>
                <w:color w:val="auto"/>
              </w:rPr>
            </w:pPr>
            <w:r>
              <w:rPr>
                <w:rFonts w:ascii="Arial" w:cs="Arial" w:eastAsia="Arial" w:hAnsi="Arial"/>
                <w:sz w:val="14"/>
                <w:szCs w:val="14"/>
                <w:color w:val="auto"/>
              </w:rPr>
              <w:t>Income taxes prepaid and receivable</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34,803</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43,937</w:t>
            </w:r>
          </w:p>
        </w:tc>
        <w:tc>
          <w:tcPr>
            <w:tcW w:w="0" w:type="dxa"/>
            <w:vAlign w:val="bottom"/>
          </w:tcPr>
          <w:p>
            <w:pPr>
              <w:spacing w:after="0"/>
              <w:rPr>
                <w:sz w:val="1"/>
                <w:szCs w:val="1"/>
                <w:color w:val="auto"/>
              </w:rPr>
            </w:pPr>
          </w:p>
        </w:tc>
      </w:tr>
      <w:tr>
        <w:trPr>
          <w:trHeight w:val="207"/>
        </w:trPr>
        <w:tc>
          <w:tcPr>
            <w:tcW w:w="8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Prepaid expenses and other current assets</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42,439</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34,990</w:t>
            </w:r>
          </w:p>
        </w:tc>
        <w:tc>
          <w:tcPr>
            <w:tcW w:w="0" w:type="dxa"/>
            <w:vAlign w:val="bottom"/>
          </w:tcPr>
          <w:p>
            <w:pPr>
              <w:spacing w:after="0"/>
              <w:rPr>
                <w:sz w:val="1"/>
                <w:szCs w:val="1"/>
                <w:color w:val="auto"/>
              </w:rPr>
            </w:pPr>
          </w:p>
        </w:tc>
      </w:tr>
      <w:tr>
        <w:trPr>
          <w:trHeight w:val="198"/>
        </w:trPr>
        <w:tc>
          <w:tcPr>
            <w:tcW w:w="8080" w:type="dxa"/>
            <w:vAlign w:val="bottom"/>
          </w:tcPr>
          <w:p>
            <w:pPr>
              <w:ind w:left="140"/>
              <w:spacing w:after="0"/>
              <w:rPr>
                <w:sz w:val="20"/>
                <w:szCs w:val="20"/>
                <w:color w:val="auto"/>
              </w:rPr>
            </w:pPr>
            <w:r>
              <w:rPr>
                <w:rFonts w:ascii="Arial" w:cs="Arial" w:eastAsia="Arial" w:hAnsi="Arial"/>
                <w:sz w:val="14"/>
                <w:szCs w:val="14"/>
                <w:color w:val="auto"/>
              </w:rPr>
              <w:t>Assets held for sale</w:t>
            </w:r>
          </w:p>
        </w:tc>
        <w:tc>
          <w:tcPr>
            <w:tcW w:w="14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293,783</w:t>
            </w:r>
          </w:p>
        </w:tc>
        <w:tc>
          <w:tcPr>
            <w:tcW w:w="0" w:type="dxa"/>
            <w:vAlign w:val="bottom"/>
          </w:tcPr>
          <w:p>
            <w:pPr>
              <w:spacing w:after="0"/>
              <w:rPr>
                <w:sz w:val="1"/>
                <w:szCs w:val="1"/>
                <w:color w:val="auto"/>
              </w:rPr>
            </w:pPr>
          </w:p>
        </w:tc>
      </w:tr>
      <w:tr>
        <w:trPr>
          <w:trHeight w:val="200"/>
        </w:trPr>
        <w:tc>
          <w:tcPr>
            <w:tcW w:w="80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current assets</w:t>
            </w: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764,034</w:t>
            </w:r>
          </w:p>
        </w:tc>
        <w:tc>
          <w:tcPr>
            <w:tcW w:w="1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928,835</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Property, plant and equipment, net</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544,559</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482,568</w:t>
            </w:r>
          </w:p>
        </w:tc>
        <w:tc>
          <w:tcPr>
            <w:tcW w:w="0" w:type="dxa"/>
            <w:vAlign w:val="bottom"/>
          </w:tcPr>
          <w:p>
            <w:pPr>
              <w:spacing w:after="0"/>
              <w:rPr>
                <w:sz w:val="1"/>
                <w:szCs w:val="1"/>
                <w:color w:val="auto"/>
              </w:rPr>
            </w:pPr>
          </w:p>
        </w:tc>
      </w:tr>
      <w:tr>
        <w:trPr>
          <w:trHeight w:val="198"/>
        </w:trPr>
        <w:tc>
          <w:tcPr>
            <w:tcW w:w="8080" w:type="dxa"/>
            <w:vAlign w:val="bottom"/>
          </w:tcPr>
          <w:p>
            <w:pPr>
              <w:ind w:left="140"/>
              <w:spacing w:after="0"/>
              <w:rPr>
                <w:sz w:val="20"/>
                <w:szCs w:val="20"/>
                <w:color w:val="auto"/>
              </w:rPr>
            </w:pPr>
            <w:r>
              <w:rPr>
                <w:rFonts w:ascii="Arial" w:cs="Arial" w:eastAsia="Arial" w:hAnsi="Arial"/>
                <w:sz w:val="14"/>
                <w:szCs w:val="14"/>
                <w:color w:val="auto"/>
              </w:rPr>
              <w:t>Intangibles, net</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30,411</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21,428</w:t>
            </w:r>
          </w:p>
        </w:tc>
        <w:tc>
          <w:tcPr>
            <w:tcW w:w="0" w:type="dxa"/>
            <w:vAlign w:val="bottom"/>
          </w:tcPr>
          <w:p>
            <w:pPr>
              <w:spacing w:after="0"/>
              <w:rPr>
                <w:sz w:val="1"/>
                <w:szCs w:val="1"/>
                <w:color w:val="auto"/>
              </w:rPr>
            </w:pPr>
          </w:p>
        </w:tc>
      </w:tr>
      <w:tr>
        <w:trPr>
          <w:trHeight w:val="207"/>
        </w:trPr>
        <w:tc>
          <w:tcPr>
            <w:tcW w:w="8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Goodwill</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182,011</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162,507</w:t>
            </w:r>
          </w:p>
        </w:tc>
        <w:tc>
          <w:tcPr>
            <w:tcW w:w="0" w:type="dxa"/>
            <w:vAlign w:val="bottom"/>
          </w:tcPr>
          <w:p>
            <w:pPr>
              <w:spacing w:after="0"/>
              <w:rPr>
                <w:sz w:val="1"/>
                <w:szCs w:val="1"/>
                <w:color w:val="auto"/>
              </w:rPr>
            </w:pPr>
          </w:p>
        </w:tc>
      </w:tr>
      <w:tr>
        <w:trPr>
          <w:trHeight w:val="198"/>
        </w:trPr>
        <w:tc>
          <w:tcPr>
            <w:tcW w:w="8080" w:type="dxa"/>
            <w:vAlign w:val="bottom"/>
          </w:tcPr>
          <w:p>
            <w:pPr>
              <w:ind w:left="140"/>
              <w:spacing w:after="0"/>
              <w:rPr>
                <w:sz w:val="20"/>
                <w:szCs w:val="20"/>
                <w:color w:val="auto"/>
              </w:rPr>
            </w:pPr>
            <w:r>
              <w:rPr>
                <w:rFonts w:ascii="Arial" w:cs="Arial" w:eastAsia="Arial" w:hAnsi="Arial"/>
                <w:sz w:val="14"/>
                <w:szCs w:val="14"/>
                <w:color w:val="auto"/>
              </w:rPr>
              <w:t>Deferred income taxes</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57,059</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68,499</w:t>
            </w:r>
          </w:p>
        </w:tc>
        <w:tc>
          <w:tcPr>
            <w:tcW w:w="0" w:type="dxa"/>
            <w:vAlign w:val="bottom"/>
          </w:tcPr>
          <w:p>
            <w:pPr>
              <w:spacing w:after="0"/>
              <w:rPr>
                <w:sz w:val="1"/>
                <w:szCs w:val="1"/>
                <w:color w:val="auto"/>
              </w:rPr>
            </w:pPr>
          </w:p>
        </w:tc>
      </w:tr>
      <w:tr>
        <w:trPr>
          <w:trHeight w:val="207"/>
        </w:trPr>
        <w:tc>
          <w:tcPr>
            <w:tcW w:w="8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assets</w:t>
            </w: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107,543</w:t>
            </w:r>
          </w:p>
        </w:tc>
        <w:tc>
          <w:tcPr>
            <w:tcW w:w="14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54,872</w:t>
            </w:r>
          </w:p>
        </w:tc>
        <w:tc>
          <w:tcPr>
            <w:tcW w:w="0" w:type="dxa"/>
            <w:vAlign w:val="bottom"/>
          </w:tcPr>
          <w:p>
            <w:pPr>
              <w:spacing w:after="0"/>
              <w:rPr>
                <w:sz w:val="1"/>
                <w:szCs w:val="1"/>
                <w:color w:val="auto"/>
              </w:rPr>
            </w:pPr>
          </w:p>
        </w:tc>
      </w:tr>
      <w:tr>
        <w:trPr>
          <w:trHeight w:val="192"/>
        </w:trPr>
        <w:tc>
          <w:tcPr>
            <w:tcW w:w="80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1,685,617</w:t>
            </w:r>
          </w:p>
        </w:tc>
        <w:tc>
          <w:tcPr>
            <w:tcW w:w="1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1,718,709</w:t>
            </w:r>
          </w:p>
        </w:tc>
        <w:tc>
          <w:tcPr>
            <w:tcW w:w="0" w:type="dxa"/>
            <w:vAlign w:val="bottom"/>
          </w:tcPr>
          <w:p>
            <w:pPr>
              <w:spacing w:after="0"/>
              <w:rPr>
                <w:sz w:val="1"/>
                <w:szCs w:val="1"/>
                <w:color w:val="auto"/>
              </w:rPr>
            </w:pPr>
          </w:p>
        </w:tc>
      </w:tr>
      <w:tr>
        <w:trPr>
          <w:trHeight w:val="200"/>
        </w:trPr>
        <w:tc>
          <w:tcPr>
            <w:tcW w:w="8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080" w:type="dxa"/>
            <w:vAlign w:val="bottom"/>
          </w:tcPr>
          <w:p>
            <w:pPr>
              <w:ind w:left="20"/>
              <w:spacing w:after="0"/>
              <w:rPr>
                <w:sz w:val="20"/>
                <w:szCs w:val="20"/>
                <w:color w:val="auto"/>
              </w:rPr>
            </w:pPr>
            <w:r>
              <w:rPr>
                <w:rFonts w:ascii="Arial" w:cs="Arial" w:eastAsia="Arial" w:hAnsi="Arial"/>
                <w:sz w:val="14"/>
                <w:szCs w:val="14"/>
                <w:b w:val="1"/>
                <w:bCs w:val="1"/>
                <w:color w:val="auto"/>
              </w:rPr>
              <w:t>Liabilities and Shareholders' Equity</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87,394</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64,499</w:t>
            </w:r>
          </w:p>
        </w:tc>
        <w:tc>
          <w:tcPr>
            <w:tcW w:w="0" w:type="dxa"/>
            <w:vAlign w:val="bottom"/>
          </w:tcPr>
          <w:p>
            <w:pPr>
              <w:spacing w:after="0"/>
              <w:rPr>
                <w:sz w:val="1"/>
                <w:szCs w:val="1"/>
                <w:color w:val="auto"/>
              </w:rPr>
            </w:pPr>
          </w:p>
        </w:tc>
      </w:tr>
      <w:tr>
        <w:trPr>
          <w:trHeight w:val="198"/>
        </w:trPr>
        <w:tc>
          <w:tcPr>
            <w:tcW w:w="8080" w:type="dxa"/>
            <w:vAlign w:val="bottom"/>
          </w:tcPr>
          <w:p>
            <w:pPr>
              <w:ind w:left="140"/>
              <w:spacing w:after="0"/>
              <w:rPr>
                <w:sz w:val="20"/>
                <w:szCs w:val="20"/>
                <w:color w:val="auto"/>
              </w:rPr>
            </w:pPr>
            <w:r>
              <w:rPr>
                <w:rFonts w:ascii="Arial" w:cs="Arial" w:eastAsia="Arial" w:hAnsi="Arial"/>
                <w:sz w:val="14"/>
                <w:szCs w:val="14"/>
                <w:color w:val="auto"/>
              </w:rPr>
              <w:t>Accrued liabilities</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207,062</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139,385</w:t>
            </w:r>
          </w:p>
        </w:tc>
        <w:tc>
          <w:tcPr>
            <w:tcW w:w="0" w:type="dxa"/>
            <w:vAlign w:val="bottom"/>
          </w:tcPr>
          <w:p>
            <w:pPr>
              <w:spacing w:after="0"/>
              <w:rPr>
                <w:sz w:val="1"/>
                <w:szCs w:val="1"/>
                <w:color w:val="auto"/>
              </w:rPr>
            </w:pPr>
          </w:p>
        </w:tc>
      </w:tr>
      <w:tr>
        <w:trPr>
          <w:trHeight w:val="207"/>
        </w:trPr>
        <w:tc>
          <w:tcPr>
            <w:tcW w:w="8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taxes payable</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22,929</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35,090</w:t>
            </w:r>
          </w:p>
        </w:tc>
        <w:tc>
          <w:tcPr>
            <w:tcW w:w="0" w:type="dxa"/>
            <w:vAlign w:val="bottom"/>
          </w:tcPr>
          <w:p>
            <w:pPr>
              <w:spacing w:after="0"/>
              <w:rPr>
                <w:sz w:val="1"/>
                <w:szCs w:val="1"/>
                <w:color w:val="auto"/>
              </w:rPr>
            </w:pPr>
          </w:p>
        </w:tc>
      </w:tr>
      <w:tr>
        <w:trPr>
          <w:trHeight w:val="198"/>
        </w:trPr>
        <w:tc>
          <w:tcPr>
            <w:tcW w:w="8080" w:type="dxa"/>
            <w:vAlign w:val="bottom"/>
          </w:tcPr>
          <w:p>
            <w:pPr>
              <w:ind w:left="140"/>
              <w:spacing w:after="0"/>
              <w:rPr>
                <w:sz w:val="20"/>
                <w:szCs w:val="20"/>
                <w:color w:val="auto"/>
              </w:rPr>
            </w:pPr>
            <w:r>
              <w:rPr>
                <w:rFonts w:ascii="Arial" w:cs="Arial" w:eastAsia="Arial" w:hAnsi="Arial"/>
                <w:sz w:val="14"/>
                <w:szCs w:val="14"/>
                <w:color w:val="auto"/>
              </w:rPr>
              <w:t>Liabilities held for sale</w:t>
            </w:r>
          </w:p>
        </w:tc>
        <w:tc>
          <w:tcPr>
            <w:tcW w:w="14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203,323</w:t>
            </w:r>
          </w:p>
        </w:tc>
        <w:tc>
          <w:tcPr>
            <w:tcW w:w="0" w:type="dxa"/>
            <w:vAlign w:val="bottom"/>
          </w:tcPr>
          <w:p>
            <w:pPr>
              <w:spacing w:after="0"/>
              <w:rPr>
                <w:sz w:val="1"/>
                <w:szCs w:val="1"/>
                <w:color w:val="auto"/>
              </w:rPr>
            </w:pPr>
          </w:p>
        </w:tc>
      </w:tr>
      <w:tr>
        <w:trPr>
          <w:trHeight w:val="200"/>
        </w:trPr>
        <w:tc>
          <w:tcPr>
            <w:tcW w:w="80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current liabilities</w:t>
            </w: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317,385</w:t>
            </w:r>
          </w:p>
        </w:tc>
        <w:tc>
          <w:tcPr>
            <w:tcW w:w="1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442,297</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Long-term debt</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422,087</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455,663</w:t>
            </w:r>
          </w:p>
        </w:tc>
        <w:tc>
          <w:tcPr>
            <w:tcW w:w="0" w:type="dxa"/>
            <w:vAlign w:val="bottom"/>
          </w:tcPr>
          <w:p>
            <w:pPr>
              <w:spacing w:after="0"/>
              <w:rPr>
                <w:sz w:val="1"/>
                <w:szCs w:val="1"/>
                <w:color w:val="auto"/>
              </w:rPr>
            </w:pPr>
          </w:p>
        </w:tc>
      </w:tr>
      <w:tr>
        <w:trPr>
          <w:trHeight w:val="198"/>
        </w:trPr>
        <w:tc>
          <w:tcPr>
            <w:tcW w:w="8080" w:type="dxa"/>
            <w:vAlign w:val="bottom"/>
          </w:tcPr>
          <w:p>
            <w:pPr>
              <w:ind w:left="140"/>
              <w:spacing w:after="0"/>
              <w:rPr>
                <w:sz w:val="20"/>
                <w:szCs w:val="20"/>
                <w:color w:val="auto"/>
              </w:rPr>
            </w:pPr>
            <w:r>
              <w:rPr>
                <w:rFonts w:ascii="Arial" w:cs="Arial" w:eastAsia="Arial" w:hAnsi="Arial"/>
                <w:sz w:val="14"/>
                <w:szCs w:val="14"/>
                <w:color w:val="auto"/>
              </w:rPr>
              <w:t>Other noncurrent liabilities</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142,450</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86,850</w:t>
            </w:r>
          </w:p>
        </w:tc>
        <w:tc>
          <w:tcPr>
            <w:tcW w:w="0" w:type="dxa"/>
            <w:vAlign w:val="bottom"/>
          </w:tcPr>
          <w:p>
            <w:pPr>
              <w:spacing w:after="0"/>
              <w:rPr>
                <w:sz w:val="1"/>
                <w:szCs w:val="1"/>
                <w:color w:val="auto"/>
              </w:rPr>
            </w:pPr>
          </w:p>
        </w:tc>
      </w:tr>
      <w:tr>
        <w:trPr>
          <w:trHeight w:val="207"/>
        </w:trPr>
        <w:tc>
          <w:tcPr>
            <w:tcW w:w="8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income taxes</w:t>
            </w: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15,581</w:t>
            </w:r>
          </w:p>
        </w:tc>
        <w:tc>
          <w:tcPr>
            <w:tcW w:w="14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1,797</w:t>
            </w:r>
          </w:p>
        </w:tc>
        <w:tc>
          <w:tcPr>
            <w:tcW w:w="0" w:type="dxa"/>
            <w:vAlign w:val="bottom"/>
          </w:tcPr>
          <w:p>
            <w:pPr>
              <w:spacing w:after="0"/>
              <w:rPr>
                <w:sz w:val="1"/>
                <w:szCs w:val="1"/>
                <w:color w:val="auto"/>
              </w:rPr>
            </w:pPr>
          </w:p>
        </w:tc>
      </w:tr>
      <w:tr>
        <w:trPr>
          <w:trHeight w:val="192"/>
        </w:trPr>
        <w:tc>
          <w:tcPr>
            <w:tcW w:w="80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Total liabilities</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897,503</w:t>
            </w:r>
          </w:p>
        </w:tc>
        <w:tc>
          <w:tcPr>
            <w:tcW w:w="1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986,607</w:t>
            </w:r>
          </w:p>
        </w:tc>
        <w:tc>
          <w:tcPr>
            <w:tcW w:w="0" w:type="dxa"/>
            <w:vAlign w:val="bottom"/>
          </w:tcPr>
          <w:p>
            <w:pPr>
              <w:spacing w:after="0"/>
              <w:rPr>
                <w:sz w:val="1"/>
                <w:szCs w:val="1"/>
                <w:color w:val="auto"/>
              </w:rPr>
            </w:pPr>
          </w:p>
        </w:tc>
      </w:tr>
      <w:tr>
        <w:trPr>
          <w:trHeight w:val="133"/>
        </w:trPr>
        <w:tc>
          <w:tcPr>
            <w:tcW w:w="80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8080" w:type="dxa"/>
            <w:vAlign w:val="bottom"/>
          </w:tcPr>
          <w:p>
            <w:pPr>
              <w:ind w:left="20"/>
              <w:spacing w:after="0"/>
              <w:rPr>
                <w:sz w:val="20"/>
                <w:szCs w:val="20"/>
                <w:color w:val="auto"/>
              </w:rPr>
            </w:pPr>
            <w:r>
              <w:rPr>
                <w:rFonts w:ascii="Arial" w:cs="Arial" w:eastAsia="Arial" w:hAnsi="Arial"/>
                <w:sz w:val="14"/>
                <w:szCs w:val="14"/>
                <w:color w:val="auto"/>
              </w:rPr>
              <w:t>Commitments and Contingencies (Note 17)</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0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8080" w:type="dxa"/>
            <w:vAlign w:val="bottom"/>
          </w:tcPr>
          <w:p>
            <w:pPr>
              <w:ind w:left="20"/>
              <w:spacing w:after="0"/>
              <w:rPr>
                <w:sz w:val="20"/>
                <w:szCs w:val="20"/>
                <w:color w:val="auto"/>
              </w:rPr>
            </w:pPr>
            <w:r>
              <w:rPr>
                <w:rFonts w:ascii="Arial" w:cs="Arial" w:eastAsia="Arial" w:hAnsi="Arial"/>
                <w:sz w:val="14"/>
                <w:szCs w:val="14"/>
                <w:b w:val="1"/>
                <w:bCs w:val="1"/>
                <w:color w:val="auto"/>
              </w:rPr>
              <w:t>Shareholders' Equity:</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Preferred stock, par value per share; authorized  shares;  issued</w:t>
            </w: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8080" w:type="dxa"/>
            <w:vAlign w:val="bottom"/>
          </w:tcPr>
          <w:p>
            <w:pPr>
              <w:ind w:left="140"/>
              <w:spacing w:after="0" w:line="149" w:lineRule="exact"/>
              <w:rPr>
                <w:sz w:val="20"/>
                <w:szCs w:val="20"/>
                <w:color w:val="auto"/>
              </w:rPr>
            </w:pPr>
            <w:r>
              <w:rPr>
                <w:rFonts w:ascii="Arial" w:cs="Arial" w:eastAsia="Arial" w:hAnsi="Arial"/>
                <w:sz w:val="14"/>
                <w:szCs w:val="14"/>
                <w:color w:val="auto"/>
              </w:rPr>
              <w:t>Class A Common Stock, par value $0.001 per share; authorized 100,000,000 shares; 41,071,328 issued in 2026</w:t>
            </w:r>
          </w:p>
        </w:tc>
        <w:tc>
          <w:tcPr>
            <w:tcW w:w="14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41</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89"/>
        </w:trPr>
        <w:tc>
          <w:tcPr>
            <w:tcW w:w="8080" w:type="dxa"/>
            <w:vAlign w:val="bottom"/>
          </w:tcPr>
          <w:p>
            <w:pPr>
              <w:ind w:left="140"/>
              <w:spacing w:after="0"/>
              <w:rPr>
                <w:sz w:val="20"/>
                <w:szCs w:val="20"/>
                <w:color w:val="auto"/>
              </w:rPr>
            </w:pPr>
            <w:r>
              <w:rPr>
                <w:rFonts w:ascii="Arial" w:cs="Arial" w:eastAsia="Arial" w:hAnsi="Arial"/>
                <w:sz w:val="14"/>
                <w:szCs w:val="14"/>
                <w:color w:val="auto"/>
              </w:rPr>
              <w:t>and 40,989,106 in 2025</w:t>
            </w:r>
          </w:p>
        </w:tc>
        <w:tc>
          <w:tcPr>
            <w:tcW w:w="1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Additional paid in capital</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466,578</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460,472</w:t>
            </w:r>
          </w:p>
        </w:tc>
        <w:tc>
          <w:tcPr>
            <w:tcW w:w="0" w:type="dxa"/>
            <w:vAlign w:val="bottom"/>
          </w:tcPr>
          <w:p>
            <w:pPr>
              <w:spacing w:after="0"/>
              <w:rPr>
                <w:sz w:val="1"/>
                <w:szCs w:val="1"/>
                <w:color w:val="auto"/>
              </w:rPr>
            </w:pPr>
          </w:p>
        </w:tc>
      </w:tr>
      <w:tr>
        <w:trPr>
          <w:trHeight w:val="198"/>
        </w:trPr>
        <w:tc>
          <w:tcPr>
            <w:tcW w:w="8080" w:type="dxa"/>
            <w:vAlign w:val="bottom"/>
          </w:tcPr>
          <w:p>
            <w:pPr>
              <w:ind w:left="140"/>
              <w:spacing w:after="0"/>
              <w:rPr>
                <w:sz w:val="20"/>
                <w:szCs w:val="20"/>
                <w:color w:val="auto"/>
              </w:rPr>
            </w:pPr>
            <w:r>
              <w:rPr>
                <w:rFonts w:ascii="Arial" w:cs="Arial" w:eastAsia="Arial" w:hAnsi="Arial"/>
                <w:sz w:val="14"/>
                <w:szCs w:val="14"/>
                <w:color w:val="auto"/>
              </w:rPr>
              <w:t>Retained earnings</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1,026,863</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976,373</w:t>
            </w:r>
          </w:p>
        </w:tc>
        <w:tc>
          <w:tcPr>
            <w:tcW w:w="0" w:type="dxa"/>
            <w:vAlign w:val="bottom"/>
          </w:tcPr>
          <w:p>
            <w:pPr>
              <w:spacing w:after="0"/>
              <w:rPr>
                <w:sz w:val="1"/>
                <w:szCs w:val="1"/>
                <w:color w:val="auto"/>
              </w:rPr>
            </w:pPr>
          </w:p>
        </w:tc>
      </w:tr>
      <w:tr>
        <w:trPr>
          <w:trHeight w:val="207"/>
        </w:trPr>
        <w:tc>
          <w:tcPr>
            <w:tcW w:w="8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Accumulated items of other comprehensive income:</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080" w:type="dxa"/>
            <w:vAlign w:val="bottom"/>
          </w:tcPr>
          <w:p>
            <w:pPr>
              <w:ind w:left="220"/>
              <w:spacing w:after="0"/>
              <w:rPr>
                <w:sz w:val="20"/>
                <w:szCs w:val="20"/>
                <w:color w:val="auto"/>
              </w:rPr>
            </w:pPr>
            <w:r>
              <w:rPr>
                <w:rFonts w:ascii="Arial" w:cs="Arial" w:eastAsia="Arial" w:hAnsi="Arial"/>
                <w:sz w:val="14"/>
                <w:szCs w:val="14"/>
                <w:color w:val="auto"/>
              </w:rPr>
              <w:t>Translation adjustments</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(125,373)</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(119,008)</w:t>
            </w:r>
          </w:p>
        </w:tc>
        <w:tc>
          <w:tcPr>
            <w:tcW w:w="0" w:type="dxa"/>
            <w:vAlign w:val="bottom"/>
          </w:tcPr>
          <w:p>
            <w:pPr>
              <w:spacing w:after="0"/>
              <w:rPr>
                <w:sz w:val="1"/>
                <w:szCs w:val="1"/>
                <w:color w:val="auto"/>
              </w:rPr>
            </w:pPr>
          </w:p>
        </w:tc>
      </w:tr>
      <w:tr>
        <w:trPr>
          <w:trHeight w:val="207"/>
        </w:trPr>
        <w:tc>
          <w:tcPr>
            <w:tcW w:w="80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Pension and postretirement liability adjustments</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(22,838)</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(23,911)</w:t>
            </w:r>
          </w:p>
        </w:tc>
        <w:tc>
          <w:tcPr>
            <w:tcW w:w="0" w:type="dxa"/>
            <w:vAlign w:val="bottom"/>
          </w:tcPr>
          <w:p>
            <w:pPr>
              <w:spacing w:after="0"/>
              <w:rPr>
                <w:sz w:val="1"/>
                <w:szCs w:val="1"/>
                <w:color w:val="auto"/>
              </w:rPr>
            </w:pPr>
          </w:p>
        </w:tc>
      </w:tr>
      <w:tr>
        <w:trPr>
          <w:trHeight w:val="198"/>
        </w:trPr>
        <w:tc>
          <w:tcPr>
            <w:tcW w:w="8080" w:type="dxa"/>
            <w:vAlign w:val="bottom"/>
          </w:tcPr>
          <w:p>
            <w:pPr>
              <w:ind w:left="220"/>
              <w:spacing w:after="0"/>
              <w:rPr>
                <w:sz w:val="20"/>
                <w:szCs w:val="20"/>
                <w:color w:val="auto"/>
              </w:rPr>
            </w:pPr>
            <w:r>
              <w:rPr>
                <w:rFonts w:ascii="Arial" w:cs="Arial" w:eastAsia="Arial" w:hAnsi="Arial"/>
                <w:sz w:val="14"/>
                <w:szCs w:val="14"/>
                <w:color w:val="auto"/>
              </w:rPr>
              <w:t>Derivative valuation adjustment</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3,387</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(619)</w:t>
            </w:r>
          </w:p>
        </w:tc>
        <w:tc>
          <w:tcPr>
            <w:tcW w:w="0" w:type="dxa"/>
            <w:vAlign w:val="bottom"/>
          </w:tcPr>
          <w:p>
            <w:pPr>
              <w:spacing w:after="0"/>
              <w:rPr>
                <w:sz w:val="1"/>
                <w:szCs w:val="1"/>
                <w:color w:val="auto"/>
              </w:rPr>
            </w:pPr>
          </w:p>
        </w:tc>
      </w:tr>
      <w:tr>
        <w:trPr>
          <w:trHeight w:val="207"/>
        </w:trPr>
        <w:tc>
          <w:tcPr>
            <w:tcW w:w="8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Treasury stock (Class A), at cost; 12,685,782 shares in 2026 and 12,685,782 in 2025</w:t>
            </w: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(566,993)</w:t>
            </w:r>
          </w:p>
        </w:tc>
        <w:tc>
          <w:tcPr>
            <w:tcW w:w="14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(567,139)</w:t>
            </w:r>
          </w:p>
        </w:tc>
        <w:tc>
          <w:tcPr>
            <w:tcW w:w="0" w:type="dxa"/>
            <w:vAlign w:val="bottom"/>
          </w:tcPr>
          <w:p>
            <w:pPr>
              <w:spacing w:after="0"/>
              <w:rPr>
                <w:sz w:val="1"/>
                <w:szCs w:val="1"/>
                <w:color w:val="auto"/>
              </w:rPr>
            </w:pPr>
          </w:p>
        </w:tc>
      </w:tr>
      <w:tr>
        <w:trPr>
          <w:trHeight w:val="192"/>
        </w:trPr>
        <w:tc>
          <w:tcPr>
            <w:tcW w:w="8080" w:type="dxa"/>
            <w:vAlign w:val="bottom"/>
          </w:tcPr>
          <w:p>
            <w:pPr>
              <w:ind w:left="140"/>
              <w:spacing w:after="0"/>
              <w:rPr>
                <w:sz w:val="20"/>
                <w:szCs w:val="20"/>
                <w:color w:val="auto"/>
              </w:rPr>
            </w:pPr>
            <w:r>
              <w:rPr>
                <w:rFonts w:ascii="Arial" w:cs="Arial" w:eastAsia="Arial" w:hAnsi="Arial"/>
                <w:sz w:val="14"/>
                <w:szCs w:val="14"/>
                <w:color w:val="auto"/>
              </w:rPr>
              <w:t>Total shareholders' equity</w:t>
            </w: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781,665</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726,209</w:t>
            </w:r>
          </w:p>
        </w:tc>
        <w:tc>
          <w:tcPr>
            <w:tcW w:w="0" w:type="dxa"/>
            <w:vAlign w:val="bottom"/>
          </w:tcPr>
          <w:p>
            <w:pPr>
              <w:spacing w:after="0"/>
              <w:rPr>
                <w:sz w:val="1"/>
                <w:szCs w:val="1"/>
                <w:color w:val="auto"/>
              </w:rPr>
            </w:pPr>
          </w:p>
        </w:tc>
      </w:tr>
      <w:tr>
        <w:trPr>
          <w:trHeight w:val="207"/>
        </w:trPr>
        <w:tc>
          <w:tcPr>
            <w:tcW w:w="8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Noncontrolling interest</w:t>
            </w: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6,449</w:t>
            </w:r>
          </w:p>
        </w:tc>
        <w:tc>
          <w:tcPr>
            <w:tcW w:w="14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5,893</w:t>
            </w:r>
          </w:p>
        </w:tc>
        <w:tc>
          <w:tcPr>
            <w:tcW w:w="0" w:type="dxa"/>
            <w:vAlign w:val="bottom"/>
          </w:tcPr>
          <w:p>
            <w:pPr>
              <w:spacing w:after="0"/>
              <w:rPr>
                <w:sz w:val="1"/>
                <w:szCs w:val="1"/>
                <w:color w:val="auto"/>
              </w:rPr>
            </w:pPr>
          </w:p>
        </w:tc>
      </w:tr>
      <w:tr>
        <w:trPr>
          <w:trHeight w:val="192"/>
        </w:trPr>
        <w:tc>
          <w:tcPr>
            <w:tcW w:w="80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Total equity</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788,114</w:t>
            </w:r>
          </w:p>
        </w:tc>
        <w:tc>
          <w:tcPr>
            <w:tcW w:w="1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732,102</w:t>
            </w:r>
          </w:p>
        </w:tc>
        <w:tc>
          <w:tcPr>
            <w:tcW w:w="0" w:type="dxa"/>
            <w:vAlign w:val="bottom"/>
          </w:tcPr>
          <w:p>
            <w:pPr>
              <w:spacing w:after="0"/>
              <w:rPr>
                <w:sz w:val="1"/>
                <w:szCs w:val="1"/>
                <w:color w:val="auto"/>
              </w:rPr>
            </w:pPr>
          </w:p>
        </w:tc>
      </w:tr>
      <w:tr>
        <w:trPr>
          <w:trHeight w:val="225"/>
        </w:trPr>
        <w:tc>
          <w:tcPr>
            <w:tcW w:w="8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liabilities and shareholders'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1,685,617</w:t>
            </w:r>
          </w:p>
        </w:tc>
        <w:tc>
          <w:tcPr>
            <w:tcW w:w="1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1,718,709</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224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24" w:right="6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1" w:lineRule="exact"/>
        <w:rPr>
          <w:sz w:val="20"/>
          <w:szCs w:val="20"/>
          <w:color w:val="auto"/>
        </w:rPr>
      </w:pPr>
    </w:p>
    <w:p>
      <w:pPr>
        <w:jc w:val="center"/>
        <w:ind w:left="8100"/>
        <w:spacing w:after="0"/>
        <w:rPr>
          <w:sz w:val="20"/>
          <w:szCs w:val="20"/>
          <w:color w:val="auto"/>
        </w:rPr>
      </w:pPr>
      <w:r>
        <w:rPr>
          <w:rFonts w:ascii="Arial" w:cs="Arial" w:eastAsia="Arial" w:hAnsi="Arial"/>
          <w:sz w:val="14"/>
          <w:szCs w:val="14"/>
          <w:b w:val="1"/>
          <w:bCs w:val="1"/>
          <w:color w:val="auto"/>
        </w:rPr>
        <w:t>Nine Months Ended</w:t>
      </w:r>
    </w:p>
    <w:p>
      <w:pPr>
        <w:spacing w:after="0" w:line="2" w:lineRule="exact"/>
        <w:rPr>
          <w:sz w:val="20"/>
          <w:szCs w:val="20"/>
          <w:color w:val="auto"/>
        </w:rPr>
      </w:pPr>
    </w:p>
    <w:p>
      <w:pPr>
        <w:jc w:val="center"/>
        <w:ind w:left="8100"/>
        <w:spacing w:after="0"/>
        <w:rPr>
          <w:sz w:val="20"/>
          <w:szCs w:val="20"/>
          <w:color w:val="auto"/>
        </w:rPr>
      </w:pPr>
      <w:r>
        <w:rPr>
          <w:rFonts w:ascii="Arial" w:cs="Arial" w:eastAsia="Arial" w:hAnsi="Arial"/>
          <w:sz w:val="14"/>
          <w:szCs w:val="14"/>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2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2025</w:t>
            </w:r>
          </w:p>
        </w:tc>
      </w:tr>
      <w:tr>
        <w:trPr>
          <w:trHeight w:val="183"/>
        </w:trPr>
        <w:tc>
          <w:tcPr>
            <w:tcW w:w="8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98"/>
        </w:trPr>
        <w:tc>
          <w:tcPr>
            <w:tcW w:w="812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75,039</w:t>
            </w:r>
          </w:p>
        </w:tc>
        <w:tc>
          <w:tcPr>
            <w:tcW w:w="8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(70,957)</w:t>
            </w:r>
          </w:p>
        </w:tc>
      </w:tr>
      <w:tr>
        <w:trPr>
          <w:trHeight w:val="207"/>
        </w:trPr>
        <w:tc>
          <w:tcPr>
            <w:tcW w:w="8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198"/>
        </w:trPr>
        <w:tc>
          <w:tcPr>
            <w:tcW w:w="8120" w:type="dxa"/>
            <w:vAlign w:val="bottom"/>
          </w:tcPr>
          <w:p>
            <w:pPr>
              <w:ind w:left="480"/>
              <w:spacing w:after="0"/>
              <w:rPr>
                <w:sz w:val="20"/>
                <w:szCs w:val="20"/>
                <w:color w:val="auto"/>
              </w:rPr>
            </w:pPr>
            <w:r>
              <w:rPr>
                <w:rFonts w:ascii="Arial" w:cs="Arial" w:eastAsia="Arial" w:hAnsi="Arial"/>
                <w:sz w:val="14"/>
                <w:szCs w:val="14"/>
                <w:color w:val="auto"/>
              </w:rPr>
              <w:t>Depreciation</w:t>
            </w:r>
          </w:p>
        </w:tc>
        <w:tc>
          <w:tcPr>
            <w:tcW w:w="34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61,218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61,577</w:t>
            </w:r>
          </w:p>
        </w:tc>
      </w:tr>
      <w:tr>
        <w:trPr>
          <w:trHeight w:val="207"/>
        </w:trPr>
        <w:tc>
          <w:tcPr>
            <w:tcW w:w="81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Amortization</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3,845</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3,903</w:t>
            </w:r>
          </w:p>
        </w:tc>
      </w:tr>
      <w:tr>
        <w:trPr>
          <w:trHeight w:val="198"/>
        </w:trPr>
        <w:tc>
          <w:tcPr>
            <w:tcW w:w="8120" w:type="dxa"/>
            <w:vAlign w:val="bottom"/>
          </w:tcPr>
          <w:p>
            <w:pPr>
              <w:ind w:left="480"/>
              <w:spacing w:after="0"/>
              <w:rPr>
                <w:sz w:val="20"/>
                <w:szCs w:val="20"/>
                <w:color w:val="auto"/>
              </w:rPr>
            </w:pPr>
            <w:r>
              <w:rPr>
                <w:rFonts w:ascii="Arial" w:cs="Arial" w:eastAsia="Arial" w:hAnsi="Arial"/>
                <w:sz w:val="14"/>
                <w:szCs w:val="14"/>
                <w:color w:val="auto"/>
              </w:rPr>
              <w:t>Change in deferred taxes</w:t>
            </w:r>
          </w:p>
        </w:tc>
        <w:tc>
          <w:tcPr>
            <w:tcW w:w="34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13,863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(21,864)</w:t>
            </w:r>
          </w:p>
        </w:tc>
      </w:tr>
      <w:tr>
        <w:trPr>
          <w:trHeight w:val="207"/>
        </w:trPr>
        <w:tc>
          <w:tcPr>
            <w:tcW w:w="81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Loss/(gain) on disposal of property, plant and equipment</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616</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w:t>
            </w:r>
          </w:p>
        </w:tc>
      </w:tr>
      <w:tr>
        <w:trPr>
          <w:trHeight w:val="198"/>
        </w:trPr>
        <w:tc>
          <w:tcPr>
            <w:tcW w:w="8120" w:type="dxa"/>
            <w:vAlign w:val="bottom"/>
          </w:tcPr>
          <w:p>
            <w:pPr>
              <w:ind w:left="480"/>
              <w:spacing w:after="0"/>
              <w:rPr>
                <w:sz w:val="20"/>
                <w:szCs w:val="20"/>
                <w:color w:val="auto"/>
              </w:rPr>
            </w:pPr>
            <w:r>
              <w:rPr>
                <w:rFonts w:ascii="Arial" w:cs="Arial" w:eastAsia="Arial" w:hAnsi="Arial"/>
                <w:sz w:val="14"/>
                <w:szCs w:val="14"/>
                <w:color w:val="auto"/>
              </w:rPr>
              <w:t>Non-cash interest expense</w:t>
            </w:r>
          </w:p>
        </w:tc>
        <w:tc>
          <w:tcPr>
            <w:tcW w:w="34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694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777</w:t>
            </w:r>
          </w:p>
        </w:tc>
      </w:tr>
      <w:tr>
        <w:trPr>
          <w:trHeight w:val="207"/>
        </w:trPr>
        <w:tc>
          <w:tcPr>
            <w:tcW w:w="81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Contract loss provision (recovery)</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(52,514)</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139,665</w:t>
            </w:r>
          </w:p>
        </w:tc>
      </w:tr>
      <w:tr>
        <w:trPr>
          <w:trHeight w:val="198"/>
        </w:trPr>
        <w:tc>
          <w:tcPr>
            <w:tcW w:w="8120" w:type="dxa"/>
            <w:vAlign w:val="bottom"/>
          </w:tcPr>
          <w:p>
            <w:pPr>
              <w:ind w:left="480"/>
              <w:spacing w:after="0"/>
              <w:rPr>
                <w:sz w:val="20"/>
                <w:szCs w:val="20"/>
                <w:color w:val="auto"/>
              </w:rPr>
            </w:pPr>
            <w:r>
              <w:rPr>
                <w:rFonts w:ascii="Arial" w:cs="Arial" w:eastAsia="Arial" w:hAnsi="Arial"/>
                <w:sz w:val="14"/>
                <w:szCs w:val="14"/>
                <w:color w:val="auto"/>
              </w:rPr>
              <w:t>Compensation and benefits paid or payable in Class A Common Stock</w:t>
            </w:r>
          </w:p>
        </w:tc>
        <w:tc>
          <w:tcPr>
            <w:tcW w:w="34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7,750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9,882</w:t>
            </w:r>
          </w:p>
        </w:tc>
      </w:tr>
      <w:tr>
        <w:trPr>
          <w:trHeight w:val="207"/>
        </w:trPr>
        <w:tc>
          <w:tcPr>
            <w:tcW w:w="81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Provision for credit losses from uncollected receivables and contract assets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110</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w:t>
            </w:r>
          </w:p>
        </w:tc>
      </w:tr>
      <w:tr>
        <w:trPr>
          <w:trHeight w:val="198"/>
        </w:trPr>
        <w:tc>
          <w:tcPr>
            <w:tcW w:w="8120" w:type="dxa"/>
            <w:vAlign w:val="bottom"/>
          </w:tcPr>
          <w:p>
            <w:pPr>
              <w:ind w:left="480"/>
              <w:spacing w:after="0"/>
              <w:rPr>
                <w:sz w:val="20"/>
                <w:szCs w:val="20"/>
                <w:color w:val="auto"/>
              </w:rPr>
            </w:pPr>
            <w:r>
              <w:rPr>
                <w:rFonts w:ascii="Arial" w:cs="Arial" w:eastAsia="Arial" w:hAnsi="Arial"/>
                <w:sz w:val="14"/>
                <w:szCs w:val="14"/>
                <w:color w:val="auto"/>
              </w:rPr>
              <w:t>Foreign currency remeasurement loss/(gain) on intercompany loans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(5,740)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7,587</w:t>
            </w:r>
          </w:p>
        </w:tc>
      </w:tr>
      <w:tr>
        <w:trPr>
          <w:trHeight w:val="207"/>
        </w:trPr>
        <w:tc>
          <w:tcPr>
            <w:tcW w:w="81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Gain on sale of assets</w:t>
            </w:r>
          </w:p>
        </w:tc>
        <w:tc>
          <w:tcPr>
            <w:tcW w:w="3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(1,566)</w:t>
            </w:r>
          </w:p>
        </w:tc>
      </w:tr>
      <w:tr>
        <w:trPr>
          <w:trHeight w:val="216"/>
        </w:trPr>
        <w:tc>
          <w:tcPr>
            <w:tcW w:w="8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3"/>
        </w:trPr>
        <w:tc>
          <w:tcPr>
            <w:tcW w:w="8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Changes in operating assets and liabilities that provided/(used) cash:</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198"/>
        </w:trPr>
        <w:tc>
          <w:tcPr>
            <w:tcW w:w="8120" w:type="dxa"/>
            <w:vAlign w:val="bottom"/>
          </w:tcPr>
          <w:p>
            <w:pPr>
              <w:ind w:left="480"/>
              <w:spacing w:after="0"/>
              <w:rPr>
                <w:sz w:val="20"/>
                <w:szCs w:val="20"/>
                <w:color w:val="auto"/>
              </w:rPr>
            </w:pPr>
            <w:r>
              <w:rPr>
                <w:rFonts w:ascii="Arial" w:cs="Arial" w:eastAsia="Arial" w:hAnsi="Arial"/>
                <w:sz w:val="14"/>
                <w:szCs w:val="14"/>
                <w:color w:val="auto"/>
              </w:rPr>
              <w:t>Accounts receivable</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(16,468)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2,152</w:t>
            </w:r>
          </w:p>
        </w:tc>
      </w:tr>
      <w:tr>
        <w:trPr>
          <w:trHeight w:val="207"/>
        </w:trPr>
        <w:tc>
          <w:tcPr>
            <w:tcW w:w="81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Contract assets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(9,169)</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(7,952)</w:t>
            </w:r>
          </w:p>
        </w:tc>
      </w:tr>
      <w:tr>
        <w:trPr>
          <w:trHeight w:val="198"/>
        </w:trPr>
        <w:tc>
          <w:tcPr>
            <w:tcW w:w="8120" w:type="dxa"/>
            <w:vAlign w:val="bottom"/>
          </w:tcPr>
          <w:p>
            <w:pPr>
              <w:ind w:left="480"/>
              <w:spacing w:after="0"/>
              <w:rPr>
                <w:sz w:val="20"/>
                <w:szCs w:val="20"/>
                <w:color w:val="auto"/>
              </w:rPr>
            </w:pPr>
            <w:r>
              <w:rPr>
                <w:rFonts w:ascii="Arial" w:cs="Arial" w:eastAsia="Arial" w:hAnsi="Arial"/>
                <w:sz w:val="14"/>
                <w:szCs w:val="14"/>
                <w:color w:val="auto"/>
              </w:rPr>
              <w:t>Inventories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(28,559)</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(5,105)</w:t>
            </w:r>
          </w:p>
        </w:tc>
      </w:tr>
      <w:tr>
        <w:trPr>
          <w:trHeight w:val="207"/>
        </w:trPr>
        <w:tc>
          <w:tcPr>
            <w:tcW w:w="81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Prepaid expenses and other current assets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(6,742)</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(3,286)</w:t>
            </w:r>
          </w:p>
        </w:tc>
      </w:tr>
      <w:tr>
        <w:trPr>
          <w:trHeight w:val="198"/>
        </w:trPr>
        <w:tc>
          <w:tcPr>
            <w:tcW w:w="8120" w:type="dxa"/>
            <w:vAlign w:val="bottom"/>
          </w:tcPr>
          <w:p>
            <w:pPr>
              <w:ind w:left="480"/>
              <w:spacing w:after="0"/>
              <w:rPr>
                <w:sz w:val="20"/>
                <w:szCs w:val="20"/>
                <w:color w:val="auto"/>
              </w:rPr>
            </w:pPr>
            <w:r>
              <w:rPr>
                <w:rFonts w:ascii="Arial" w:cs="Arial" w:eastAsia="Arial" w:hAnsi="Arial"/>
                <w:sz w:val="14"/>
                <w:szCs w:val="14"/>
                <w:color w:val="auto"/>
              </w:rPr>
              <w:t>Income taxes prepaid and receivable</w:t>
            </w:r>
          </w:p>
        </w:tc>
        <w:tc>
          <w:tcPr>
            <w:tcW w:w="34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9,010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(13,825)</w:t>
            </w:r>
          </w:p>
        </w:tc>
      </w:tr>
      <w:tr>
        <w:trPr>
          <w:trHeight w:val="206"/>
        </w:trPr>
        <w:tc>
          <w:tcPr>
            <w:tcW w:w="81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Accounts payable</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6,568</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18,684</w:t>
            </w:r>
          </w:p>
        </w:tc>
      </w:tr>
      <w:tr>
        <w:trPr>
          <w:trHeight w:val="199"/>
        </w:trPr>
        <w:tc>
          <w:tcPr>
            <w:tcW w:w="8120" w:type="dxa"/>
            <w:vAlign w:val="bottom"/>
          </w:tcPr>
          <w:p>
            <w:pPr>
              <w:ind w:left="480"/>
              <w:spacing w:after="0"/>
              <w:rPr>
                <w:sz w:val="20"/>
                <w:szCs w:val="20"/>
                <w:color w:val="auto"/>
              </w:rPr>
            </w:pPr>
            <w:r>
              <w:rPr>
                <w:rFonts w:ascii="Arial" w:cs="Arial" w:eastAsia="Arial" w:hAnsi="Arial"/>
                <w:sz w:val="14"/>
                <w:szCs w:val="14"/>
                <w:color w:val="auto"/>
              </w:rPr>
              <w:t>Accrued liabilities</w:t>
            </w:r>
          </w:p>
        </w:tc>
        <w:tc>
          <w:tcPr>
            <w:tcW w:w="34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5,109</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(22,887)</w:t>
            </w:r>
          </w:p>
        </w:tc>
      </w:tr>
      <w:tr>
        <w:trPr>
          <w:trHeight w:val="206"/>
        </w:trPr>
        <w:tc>
          <w:tcPr>
            <w:tcW w:w="81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Income taxes payable</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(12,608)</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(13,022)</w:t>
            </w:r>
          </w:p>
        </w:tc>
      </w:tr>
      <w:tr>
        <w:trPr>
          <w:trHeight w:val="199"/>
        </w:trPr>
        <w:tc>
          <w:tcPr>
            <w:tcW w:w="8120" w:type="dxa"/>
            <w:vAlign w:val="bottom"/>
          </w:tcPr>
          <w:p>
            <w:pPr>
              <w:ind w:left="480"/>
              <w:spacing w:after="0"/>
              <w:rPr>
                <w:sz w:val="20"/>
                <w:szCs w:val="20"/>
                <w:color w:val="auto"/>
              </w:rPr>
            </w:pPr>
            <w:r>
              <w:rPr>
                <w:rFonts w:ascii="Arial" w:cs="Arial" w:eastAsia="Arial" w:hAnsi="Arial"/>
                <w:sz w:val="14"/>
                <w:szCs w:val="14"/>
                <w:color w:val="auto"/>
              </w:rPr>
              <w:t>Other noncurrent liabilities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(1,451)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(4,307)</w:t>
            </w:r>
          </w:p>
        </w:tc>
      </w:tr>
      <w:tr>
        <w:trPr>
          <w:trHeight w:val="206"/>
        </w:trPr>
        <w:tc>
          <w:tcPr>
            <w:tcW w:w="81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Other, net</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1,052</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(847)</w:t>
            </w:r>
          </w:p>
        </w:tc>
      </w:tr>
      <w:tr>
        <w:trPr>
          <w:trHeight w:val="192"/>
        </w:trPr>
        <w:tc>
          <w:tcPr>
            <w:tcW w:w="812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Net cash provided by operating activities</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51,623</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78,772</w:t>
            </w:r>
          </w:p>
        </w:tc>
      </w:tr>
      <w:tr>
        <w:trPr>
          <w:trHeight w:val="200"/>
        </w:trPr>
        <w:tc>
          <w:tcPr>
            <w:tcW w:w="8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198"/>
        </w:trPr>
        <w:tc>
          <w:tcPr>
            <w:tcW w:w="812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7"/>
        </w:trPr>
        <w:tc>
          <w:tcPr>
            <w:tcW w:w="81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Purchases of property, plant and equipment</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(33,277)</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(47,559)</w:t>
            </w:r>
          </w:p>
        </w:tc>
      </w:tr>
      <w:tr>
        <w:trPr>
          <w:trHeight w:val="198"/>
        </w:trPr>
        <w:tc>
          <w:tcPr>
            <w:tcW w:w="8120" w:type="dxa"/>
            <w:vAlign w:val="bottom"/>
          </w:tcPr>
          <w:p>
            <w:pPr>
              <w:ind w:left="480"/>
              <w:spacing w:after="0"/>
              <w:rPr>
                <w:sz w:val="20"/>
                <w:szCs w:val="20"/>
                <w:color w:val="auto"/>
              </w:rPr>
            </w:pPr>
            <w:r>
              <w:rPr>
                <w:rFonts w:ascii="Arial" w:cs="Arial" w:eastAsia="Arial" w:hAnsi="Arial"/>
                <w:sz w:val="14"/>
                <w:szCs w:val="14"/>
                <w:color w:val="auto"/>
              </w:rPr>
              <w:t>Purchased software</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(1,250)</w:t>
            </w:r>
          </w:p>
        </w:tc>
      </w:tr>
      <w:tr>
        <w:trPr>
          <w:trHeight w:val="207"/>
        </w:trPr>
        <w:tc>
          <w:tcPr>
            <w:tcW w:w="81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Proceeds received from sale of assets</w:t>
            </w:r>
          </w:p>
        </w:tc>
        <w:tc>
          <w:tcPr>
            <w:tcW w:w="3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3,243</w:t>
            </w:r>
          </w:p>
        </w:tc>
      </w:tr>
      <w:tr>
        <w:trPr>
          <w:trHeight w:val="198"/>
        </w:trPr>
        <w:tc>
          <w:tcPr>
            <w:tcW w:w="8120" w:type="dxa"/>
            <w:vAlign w:val="bottom"/>
          </w:tcPr>
          <w:p>
            <w:pPr>
              <w:ind w:left="480"/>
              <w:spacing w:after="0"/>
              <w:rPr>
                <w:sz w:val="20"/>
                <w:szCs w:val="20"/>
                <w:color w:val="auto"/>
              </w:rPr>
            </w:pPr>
            <w:r>
              <w:rPr>
                <w:rFonts w:ascii="Arial" w:cs="Arial" w:eastAsia="Arial" w:hAnsi="Arial"/>
                <w:sz w:val="14"/>
                <w:szCs w:val="14"/>
                <w:color w:val="auto"/>
              </w:rPr>
              <w:t>Proceeds from sale of investment</w:t>
            </w:r>
          </w:p>
        </w:tc>
        <w:tc>
          <w:tcPr>
            <w:tcW w:w="34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1,660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81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Other investing activities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1,119</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812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Net cash used in investing activities</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(30,553)</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(45,566)</w:t>
            </w:r>
          </w:p>
        </w:tc>
      </w:tr>
      <w:tr>
        <w:trPr>
          <w:trHeight w:val="200"/>
        </w:trPr>
        <w:tc>
          <w:tcPr>
            <w:tcW w:w="8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198"/>
        </w:trPr>
        <w:tc>
          <w:tcPr>
            <w:tcW w:w="812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7"/>
        </w:trPr>
        <w:tc>
          <w:tcPr>
            <w:tcW w:w="81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Proceeds from borrowings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172,000</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231,999</w:t>
            </w:r>
          </w:p>
        </w:tc>
      </w:tr>
      <w:tr>
        <w:trPr>
          <w:trHeight w:val="198"/>
        </w:trPr>
        <w:tc>
          <w:tcPr>
            <w:tcW w:w="8120" w:type="dxa"/>
            <w:vAlign w:val="bottom"/>
          </w:tcPr>
          <w:p>
            <w:pPr>
              <w:ind w:left="480"/>
              <w:spacing w:after="0"/>
              <w:rPr>
                <w:sz w:val="20"/>
                <w:szCs w:val="20"/>
                <w:color w:val="auto"/>
              </w:rPr>
            </w:pPr>
            <w:r>
              <w:rPr>
                <w:rFonts w:ascii="Arial" w:cs="Arial" w:eastAsia="Arial" w:hAnsi="Arial"/>
                <w:sz w:val="14"/>
                <w:szCs w:val="14"/>
                <w:color w:val="auto"/>
              </w:rPr>
              <w:t>Repayment of borrowings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(202,000)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(82,044)</w:t>
            </w:r>
          </w:p>
        </w:tc>
      </w:tr>
      <w:tr>
        <w:trPr>
          <w:trHeight w:val="207"/>
        </w:trPr>
        <w:tc>
          <w:tcPr>
            <w:tcW w:w="81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Purchase of Treasury shares</w:t>
            </w:r>
          </w:p>
        </w:tc>
        <w:tc>
          <w:tcPr>
            <w:tcW w:w="3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(170,964)</w:t>
            </w:r>
          </w:p>
        </w:tc>
      </w:tr>
      <w:tr>
        <w:trPr>
          <w:trHeight w:val="198"/>
        </w:trPr>
        <w:tc>
          <w:tcPr>
            <w:tcW w:w="8120" w:type="dxa"/>
            <w:vAlign w:val="bottom"/>
          </w:tcPr>
          <w:p>
            <w:pPr>
              <w:ind w:left="480"/>
              <w:spacing w:after="0"/>
              <w:rPr>
                <w:sz w:val="20"/>
                <w:szCs w:val="20"/>
                <w:color w:val="auto"/>
              </w:rPr>
            </w:pPr>
            <w:r>
              <w:rPr>
                <w:rFonts w:ascii="Arial" w:cs="Arial" w:eastAsia="Arial" w:hAnsi="Arial"/>
                <w:sz w:val="14"/>
                <w:szCs w:val="14"/>
                <w:color w:val="auto"/>
              </w:rPr>
              <w:t>Taxes paid in lieu of share issuance</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(1,644)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(2,521)</w:t>
            </w:r>
          </w:p>
        </w:tc>
      </w:tr>
      <w:tr>
        <w:trPr>
          <w:trHeight w:val="207"/>
        </w:trPr>
        <w:tc>
          <w:tcPr>
            <w:tcW w:w="81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Dividends paid</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(23,810)</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(24,738)</w:t>
            </w:r>
          </w:p>
        </w:tc>
      </w:tr>
      <w:tr>
        <w:trPr>
          <w:trHeight w:val="192"/>
        </w:trPr>
        <w:tc>
          <w:tcPr>
            <w:tcW w:w="812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Net cash used in financing activities</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(55,454)</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(48,268)</w:t>
            </w:r>
          </w:p>
        </w:tc>
      </w:tr>
      <w:tr>
        <w:trPr>
          <w:trHeight w:val="200"/>
        </w:trPr>
        <w:tc>
          <w:tcPr>
            <w:tcW w:w="8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r>
      <w:tr>
        <w:trPr>
          <w:trHeight w:val="192"/>
        </w:trPr>
        <w:tc>
          <w:tcPr>
            <w:tcW w:w="812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Effect of exchange rate changes on cash and cash equivalents</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1,159</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8,089</w:t>
            </w:r>
          </w:p>
        </w:tc>
      </w:tr>
      <w:tr>
        <w:trPr>
          <w:trHeight w:val="200"/>
        </w:trPr>
        <w:tc>
          <w:tcPr>
            <w:tcW w:w="8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199"/>
        </w:trPr>
        <w:tc>
          <w:tcPr>
            <w:tcW w:w="8120" w:type="dxa"/>
            <w:vAlign w:val="bottom"/>
          </w:tcPr>
          <w:p>
            <w:pPr>
              <w:ind w:left="20"/>
              <w:spacing w:after="0"/>
              <w:rPr>
                <w:sz w:val="20"/>
                <w:szCs w:val="20"/>
                <w:color w:val="auto"/>
              </w:rPr>
            </w:pPr>
            <w:r>
              <w:rPr>
                <w:rFonts w:ascii="Arial" w:cs="Arial" w:eastAsia="Arial" w:hAnsi="Arial"/>
                <w:sz w:val="14"/>
                <w:szCs w:val="14"/>
                <w:color w:val="auto"/>
              </w:rPr>
              <w:t>Decrease in cash and cash equivalents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(33,225)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(6,973)</w:t>
            </w:r>
          </w:p>
        </w:tc>
      </w:tr>
      <w:tr>
        <w:trPr>
          <w:trHeight w:val="203"/>
        </w:trPr>
        <w:tc>
          <w:tcPr>
            <w:tcW w:w="8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112,350</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115,283</w:t>
            </w:r>
          </w:p>
        </w:tc>
      </w:tr>
      <w:tr>
        <w:trPr>
          <w:trHeight w:val="200"/>
        </w:trPr>
        <w:tc>
          <w:tcPr>
            <w:tcW w:w="8120" w:type="dxa"/>
            <w:vAlign w:val="bottom"/>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79,125</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108,310</w:t>
            </w:r>
          </w:p>
        </w:tc>
      </w:tr>
      <w:tr>
        <w:trPr>
          <w:trHeight w:val="20"/>
        </w:trPr>
        <w:tc>
          <w:tcPr>
            <w:tcW w:w="8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Supplemental disclosure of cash flow information:</w:t>
            </w:r>
          </w:p>
        </w:tc>
        <w:tc>
          <w:tcPr>
            <w:tcW w:w="30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198"/>
        </w:trPr>
        <w:tc>
          <w:tcPr>
            <w:tcW w:w="5660" w:type="dxa"/>
            <w:vAlign w:val="bottom"/>
          </w:tcPr>
          <w:p>
            <w:pPr>
              <w:ind w:left="480"/>
              <w:spacing w:after="0"/>
              <w:rPr>
                <w:sz w:val="20"/>
                <w:szCs w:val="20"/>
                <w:color w:val="auto"/>
              </w:rPr>
            </w:pPr>
            <w:r>
              <w:rPr>
                <w:rFonts w:ascii="Arial" w:cs="Arial" w:eastAsia="Arial" w:hAnsi="Arial"/>
                <w:sz w:val="14"/>
                <w:szCs w:val="14"/>
                <w:color w:val="auto"/>
              </w:rPr>
              <w:t>Cash paid for interest, net</w:t>
            </w:r>
          </w:p>
        </w:tc>
        <w:tc>
          <w:tcPr>
            <w:tcW w:w="30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18,144</w:t>
            </w:r>
          </w:p>
        </w:tc>
        <w:tc>
          <w:tcPr>
            <w:tcW w:w="6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17,333</w:t>
            </w:r>
          </w:p>
        </w:tc>
      </w:tr>
      <w:tr>
        <w:trPr>
          <w:trHeight w:val="207"/>
        </w:trPr>
        <w:tc>
          <w:tcPr>
            <w:tcW w:w="56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Cash paid for income taxes</w:t>
            </w:r>
          </w:p>
        </w:tc>
        <w:tc>
          <w:tcPr>
            <w:tcW w:w="30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22,080</w:t>
            </w:r>
          </w:p>
        </w:tc>
        <w:tc>
          <w:tcPr>
            <w:tcW w:w="6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33,462</w:t>
            </w: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ALBANY INTERNATIONAL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2" w:lineRule="exact"/>
        <w:rPr>
          <w:sz w:val="20"/>
          <w:szCs w:val="20"/>
          <w:color w:val="auto"/>
        </w:rPr>
      </w:pPr>
    </w:p>
    <w:p>
      <w:pPr>
        <w:ind w:right="8340" w:firstLine="8"/>
        <w:spacing w:after="0" w:line="374" w:lineRule="auto"/>
        <w:tabs>
          <w:tab w:leader="none" w:pos="20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Significant Accounting Policies Basis of Presentation</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opinion of management, the accompanying consolidated financial information reflects all adjustments necessary for a fair presentation of Albany International Corp.'s ("Albany", the "Registrant", the "Company", "we", "us", or "our") financial position, results of operations and cash flows for the interim periods presented, but does not include all disclosures normally required for the annual financial statements prepared in accordance with accounting principles generally accepted in the United States ("GAAP"). All such adjustments are of a normal recurring nature, unless otherwise disclosed in this report. The information included in this Quarterly Report on Form 10-Q should be read in conjunction with the Company’s Annual Report on Form 10-K for the year ended December 31, 2025.</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Estimates</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the consolidated financial statements in conformity with GAAP requires management to make estimates and assumptions that affect the reported amounts of assets and liabilities and disclosures of contingent assets and liabilities at the date of the consolidated financial statements and the reported amounts of revenues and expenses during the reporting period. Estimates are used in the accounting for, among others, revenue recognition, contract profitability, allowances for credit losses, rebates and sales allowances, inventory allowances, financial instruments, including derivatives, pension and other postretirement benefits, stock-based compensation, assets and liabilities held for sale, goodwill and intangible assets, contingencies, income taxes, and other accruals. Our estimates are based on historical experience and on various other assumptions, which are believed to be reasonable under the circumstances. Due to the inherent uncertainty involved in making estimates, actual results reported in future periods may differ from those estimates. Estimates and assumptions are reviewed periodically, and the effects of any revisions are reflected in the consolidated financial statements in the period they are determined to be necessary.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1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December 2025, the FASB issued ASU No. 2025-11, Interim Reporting (Topic 270): Narrow Scope Improvements. The ASU clarifies the applicability of Topic 270 and the form and content of interim financial statements. In addition, it requires entities to disclose material events occurring since the last annual reporting period. The guidance will be effective for interim periods beginning January 1, 2028 and can be applied on a prospective or retrospective basis. We are evaluating the disclosure impact of this guidance; however, the standard is not expected to have an impact on the Company’s consolidated financial position, results of operations or cash flows.</w:t>
      </w:r>
    </w:p>
    <w:p>
      <w:pPr>
        <w:spacing w:after="0" w:line="31" w:lineRule="exact"/>
        <w:rPr>
          <w:sz w:val="20"/>
          <w:szCs w:val="20"/>
          <w:color w:val="auto"/>
        </w:rPr>
      </w:pPr>
    </w:p>
    <w:p>
      <w:pPr>
        <w:ind w:right="120"/>
        <w:spacing w:after="0" w:line="226" w:lineRule="exact"/>
        <w:rPr>
          <w:sz w:val="20"/>
          <w:szCs w:val="20"/>
          <w:color w:val="auto"/>
        </w:rPr>
      </w:pPr>
      <w:r>
        <w:rPr>
          <w:rFonts w:ascii="Arial" w:cs="Arial" w:eastAsia="Arial" w:hAnsi="Arial"/>
          <w:sz w:val="18"/>
          <w:szCs w:val="18"/>
          <w:color w:val="auto"/>
        </w:rPr>
        <w:t>In November 2025, the FASB issued ASU No. 2025</w:t>
      </w:r>
      <w:r>
        <w:rPr>
          <w:rFonts w:ascii="MS PGothic" w:cs="MS PGothic" w:eastAsia="MS PGothic" w:hAnsi="MS PGothic"/>
          <w:sz w:val="18"/>
          <w:szCs w:val="18"/>
          <w:color w:val="auto"/>
        </w:rPr>
        <w:t>‑</w:t>
      </w:r>
      <w:r>
        <w:rPr>
          <w:rFonts w:ascii="Arial" w:cs="Arial" w:eastAsia="Arial" w:hAnsi="Arial"/>
          <w:sz w:val="18"/>
          <w:szCs w:val="18"/>
          <w:color w:val="auto"/>
        </w:rPr>
        <w:t>09, Derivatives and Hedging (Topic 815): Hedge Accounting Improvements. The ASU makes targeted amendments to hedge accounting guidance intended to better align hedge accounting results with an entity’s risk management activities, including changes related to cash flow hedges, forecasted transactions, and certain debt</w:t>
      </w:r>
      <w:r>
        <w:rPr>
          <w:rFonts w:ascii="MS PGothic" w:cs="MS PGothic" w:eastAsia="MS PGothic" w:hAnsi="MS PGothic"/>
          <w:sz w:val="18"/>
          <w:szCs w:val="18"/>
          <w:color w:val="auto"/>
        </w:rPr>
        <w:t>‑</w:t>
      </w:r>
      <w:r>
        <w:rPr>
          <w:rFonts w:ascii="Arial" w:cs="Arial" w:eastAsia="Arial" w:hAnsi="Arial"/>
          <w:sz w:val="18"/>
          <w:szCs w:val="18"/>
          <w:color w:val="auto"/>
        </w:rPr>
        <w:t>related hedging strategies. The guidance is effective for the Company for fiscal years beginning after December 15, 2026, and interim periods within those fiscal years. Early adoption is permitted. The Company is currently evaluating the impact of this guidance on its consolidated financial statements and related disclosures.</w:t>
      </w:r>
    </w:p>
    <w:p>
      <w:pPr>
        <w:spacing w:after="0" w:line="88"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In September 2025, the FASB issued ASU No. 2025-06 to improve the accounting for costs related to internal-use software. The new guidance eliminates project stages and requires capitalizing software costs to begin when (1) management has authorized and committed to funding the software project and (2) it is probable that the project will be completed and the software will be used to perform the function intended. Additionally, disclosures for property, plant and equipment will be required for all capitalized software costs. The guidance is effective in the first quarter of 2028 with early adoption permitted as of the beginning of an annual reporting period. Upon adoption, the guidance may be applied prospectively, retrospectively or using a modified transition approach. The Company is currently evaluating the impact of this guidance on our consolidated financial statements.</w:t>
      </w:r>
    </w:p>
    <w:p>
      <w:pPr>
        <w:spacing w:after="0" w:line="67"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In November 2024, the FASB issued ASU No. 2024-03 to improve the disclosure of expenses in commonly presented expense captions. The new guidance requires a public entity to provide tabular disclosure, on an annual and interim basis, of amounts for the following expense categories: (1) purchases of inventory, (2) employee compensation, (3) depreciation and (4) intangible asset amortization, as included in each relevant expense caption. Additionally, on an annual and interim basis, a qualitative description is required for amounts remaining in relevant expense captions that are not separately disaggregated quantitatively. A relevant expense caption is an expense caption presented on the</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face of the income statement that contains any of the expense categories noted. The guidance also requires certain amounts that are currently required to be disclosed to be included in the same tabular disclosure as these disaggregation requirements. Furthermore, on an annual and interim basis, a public entity is required to separately disclose selling expenses and annually, disclose a description of the selling expenses. The guidance is effective for 2027 annual reporting, and in the first quarter of 2028 for interim reporting, with early adoption permitted, to be applied on a prospective basis, with retrospective application permitted. We are evaluating the impact of this guidance on our consolidated financial statements.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Reportable Segments</w:t>
      </w:r>
    </w:p>
    <w:p>
      <w:pPr>
        <w:spacing w:after="0" w:line="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organized based on the nature of its products and is composed of two reportable segments, Machine Clothing ("MC") and Albany Engineered Composites ("AEC"), each overseen by a segment president. These segments are reflective of how the Company's Chief Executive Officer, who is its Chief Operating Decision Maker ("CODM"), reviews operating results for the purpose of allocating resources and assessing performance. Our CODM evaluates each segment's performance based on metrics such as net revenues, gross profit, and other key financial data, to assess performance and allocate resources that align with company-wide goals. The Company has not aggregated operating segments for purposes of identifying reportable segments.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Machine Clothing:</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Machine Clothing segment supplies permeable and impermeable belts used in the manufacture of paper, paperboard, tissue and towel products, nonwovens, fiber cement and for several other industrial applications. We sell our MC products directly to customer end-users in countries across the globe. Our products, manufacturing processes, and distribution channels are substantially the same in each region of the world in which we operate.</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design, manufacture, and market paper machine clothing (used in the manufacture of paper, paperboard, tissue and towel) for each section of the paper machine and for every grade of paper. Paper machine clothing products are customized, consumable products of technologically sophisticated design that utilize polymeric materials in a complex structure.</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Albany Engineered Composites: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Albany Engineered Composites segment provides highly engineered, advanced composite solutions to customers in the commercial and defense aerospace industries. The segment includes Albany Safran Composites, LLC (“ASC”), in which our customer, the SAFRAN Group (“SAFRAN”) owns a 10 percent noncontrolling interest. AEC, through ASC, is the exclusive supplier to the LEAP program of advanced composite fan blades and fan cases under a long-term supply contract, where revenue is determined by a cost-plus-fee agreement.</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Other significant programs for AEC include the Sikorsky CH-53K, F-35, JASSM, and Boeing 787 programs. AEC also supplies vacuum waste tanks for the Boeing commercial programs, and specialty components for the Rolls Royce lift fan on the F-35, as well as the fan case for the GE9X engine. For the year ended December 31, 2025, approximately 35% of AEC's revenues were related to U.S. government contracts or programs.</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tables show data by reportable segment that is regularly provided to the CODM, reconciled to consolidated totals included in the financial statements along with other segment data:</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Revenues to Operating Income(loss):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Three Months Ended September 30, 2026</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97"/>
        </w:trPr>
        <w:tc>
          <w:tcPr>
            <w:tcW w:w="48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7"/>
                <w:szCs w:val="17"/>
                <w:color w:val="auto"/>
              </w:rPr>
            </w:pPr>
          </w:p>
        </w:tc>
        <w:tc>
          <w:tcPr>
            <w:tcW w:w="1240" w:type="dxa"/>
            <w:vAlign w:val="bottom"/>
            <w:gridSpan w:val="2"/>
          </w:tcPr>
          <w:p>
            <w:pPr>
              <w:ind w:left="260"/>
              <w:spacing w:after="0"/>
              <w:rPr>
                <w:sz w:val="20"/>
                <w:szCs w:val="20"/>
                <w:color w:val="auto"/>
              </w:rPr>
            </w:pPr>
            <w:r>
              <w:rPr>
                <w:rFonts w:ascii="Arial" w:cs="Arial" w:eastAsia="Arial" w:hAnsi="Arial"/>
                <w:sz w:val="14"/>
                <w:szCs w:val="14"/>
                <w:b w:val="1"/>
                <w:bCs w:val="1"/>
                <w:color w:val="auto"/>
              </w:rPr>
              <w:t>MC</w:t>
            </w:r>
          </w:p>
        </w:tc>
        <w:tc>
          <w:tcPr>
            <w:tcW w:w="140" w:type="dxa"/>
            <w:vAlign w:val="bottom"/>
          </w:tcPr>
          <w:p>
            <w:pPr>
              <w:spacing w:after="0"/>
              <w:rPr>
                <w:sz w:val="17"/>
                <w:szCs w:val="17"/>
                <w:color w:val="auto"/>
              </w:rPr>
            </w:pPr>
          </w:p>
        </w:tc>
        <w:tc>
          <w:tcPr>
            <w:tcW w:w="1480" w:type="dxa"/>
            <w:vAlign w:val="bottom"/>
            <w:gridSpan w:val="2"/>
          </w:tcPr>
          <w:p>
            <w:pPr>
              <w:ind w:left="480"/>
              <w:spacing w:after="0"/>
              <w:rPr>
                <w:sz w:val="20"/>
                <w:szCs w:val="20"/>
                <w:color w:val="auto"/>
              </w:rPr>
            </w:pPr>
            <w:r>
              <w:rPr>
                <w:rFonts w:ascii="Arial" w:cs="Arial" w:eastAsia="Arial" w:hAnsi="Arial"/>
                <w:sz w:val="14"/>
                <w:szCs w:val="14"/>
                <w:b w:val="1"/>
                <w:bCs w:val="1"/>
                <w:color w:val="auto"/>
              </w:rPr>
              <w:t>AEC</w:t>
            </w:r>
          </w:p>
        </w:tc>
        <w:tc>
          <w:tcPr>
            <w:tcW w:w="280" w:type="dxa"/>
            <w:vAlign w:val="bottom"/>
          </w:tcPr>
          <w:p>
            <w:pPr>
              <w:spacing w:after="0"/>
              <w:rPr>
                <w:sz w:val="17"/>
                <w:szCs w:val="17"/>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Corporate</w:t>
            </w:r>
          </w:p>
        </w:tc>
        <w:tc>
          <w:tcPr>
            <w:tcW w:w="360" w:type="dxa"/>
            <w:vAlign w:val="bottom"/>
          </w:tcPr>
          <w:p>
            <w:pPr>
              <w:spacing w:after="0"/>
              <w:rPr>
                <w:sz w:val="17"/>
                <w:szCs w:val="17"/>
                <w:color w:val="auto"/>
              </w:rPr>
            </w:pPr>
          </w:p>
        </w:tc>
        <w:tc>
          <w:tcPr>
            <w:tcW w:w="1180" w:type="dxa"/>
            <w:vAlign w:val="bottom"/>
          </w:tcPr>
          <w:p>
            <w:pPr>
              <w:jc w:val="right"/>
              <w:ind w:right="520"/>
              <w:spacing w:after="0"/>
              <w:rPr>
                <w:sz w:val="20"/>
                <w:szCs w:val="20"/>
                <w:color w:val="auto"/>
              </w:rPr>
            </w:pPr>
            <w:r>
              <w:rPr>
                <w:rFonts w:ascii="Arial" w:cs="Arial" w:eastAsia="Arial" w:hAnsi="Arial"/>
                <w:sz w:val="14"/>
                <w:szCs w:val="14"/>
                <w:b w:val="1"/>
                <w:bCs w:val="1"/>
                <w:color w:val="auto"/>
              </w:rPr>
              <w:t>Total</w:t>
            </w:r>
          </w:p>
        </w:tc>
      </w:tr>
      <w:tr>
        <w:trPr>
          <w:trHeight w:val="210"/>
        </w:trPr>
        <w:tc>
          <w:tcPr>
            <w:tcW w:w="4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revenues</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169,802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179,737</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349,539</w:t>
            </w:r>
          </w:p>
        </w:tc>
      </w:tr>
      <w:tr>
        <w:trPr>
          <w:trHeight w:val="216"/>
        </w:trPr>
        <w:tc>
          <w:tcPr>
            <w:tcW w:w="4820" w:type="dxa"/>
            <w:vAlign w:val="bottom"/>
            <w:gridSpan w:val="2"/>
          </w:tcPr>
          <w:p>
            <w:pPr>
              <w:ind w:left="20"/>
              <w:spacing w:after="0"/>
              <w:rPr>
                <w:sz w:val="20"/>
                <w:szCs w:val="20"/>
                <w:color w:val="auto"/>
              </w:rPr>
            </w:pPr>
            <w:r>
              <w:rPr>
                <w:rFonts w:ascii="Arial" w:cs="Arial" w:eastAsia="Arial" w:hAnsi="Arial"/>
                <w:sz w:val="16"/>
                <w:szCs w:val="16"/>
                <w:color w:val="auto"/>
              </w:rPr>
              <w:t>Cost of goods sold</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94,434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b w:val="1"/>
                <w:bCs w:val="1"/>
                <w:color w:val="auto"/>
              </w:rPr>
              <w:t>114,727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209,161</w:t>
            </w:r>
          </w:p>
        </w:tc>
      </w:tr>
      <w:tr>
        <w:trPr>
          <w:trHeight w:val="210"/>
        </w:trPr>
        <w:tc>
          <w:tcPr>
            <w:tcW w:w="48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Gross profit</w:t>
            </w:r>
          </w:p>
        </w:tc>
        <w:tc>
          <w:tcPr>
            <w:tcW w:w="3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75,368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65,010</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140,378</w:t>
            </w:r>
          </w:p>
        </w:tc>
      </w:tr>
      <w:tr>
        <w:trPr>
          <w:trHeight w:val="216"/>
        </w:trPr>
        <w:tc>
          <w:tcPr>
            <w:tcW w:w="4820" w:type="dxa"/>
            <w:vAlign w:val="bottom"/>
            <w:gridSpan w:val="2"/>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30,971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b w:val="1"/>
                <w:bCs w:val="1"/>
                <w:color w:val="auto"/>
              </w:rPr>
              <w:t>17,166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13,364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61,501</w:t>
            </w:r>
          </w:p>
        </w:tc>
      </w:tr>
      <w:tr>
        <w:trPr>
          <w:trHeight w:val="216"/>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Technical and research expenses</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6,412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4,498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1,276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12,186</w:t>
            </w:r>
          </w:p>
        </w:tc>
      </w:tr>
      <w:tr>
        <w:trPr>
          <w:trHeight w:val="216"/>
        </w:trPr>
        <w:tc>
          <w:tcPr>
            <w:tcW w:w="48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Restructuring expenses, net</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6,827</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466</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7,293</w:t>
            </w:r>
          </w:p>
        </w:tc>
      </w:tr>
      <w:tr>
        <w:trPr>
          <w:trHeight w:val="234"/>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income/(loss)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31,158</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43,346</w:t>
            </w:r>
          </w:p>
        </w:tc>
        <w:tc>
          <w:tcPr>
            <w:tcW w:w="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(15,106)</w:t>
            </w: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59,398</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7"/>
          </w:tcPr>
          <w:p>
            <w:pPr>
              <w:jc w:val="center"/>
              <w:ind w:right="220"/>
              <w:spacing w:after="0"/>
              <w:rPr>
                <w:sz w:val="20"/>
                <w:szCs w:val="20"/>
                <w:color w:val="auto"/>
              </w:rPr>
            </w:pPr>
            <w:r>
              <w:rPr>
                <w:rFonts w:ascii="Arial" w:cs="Arial" w:eastAsia="Arial" w:hAnsi="Arial"/>
                <w:sz w:val="14"/>
                <w:szCs w:val="14"/>
                <w:b w:val="1"/>
                <w:bCs w:val="1"/>
                <w:color w:val="auto"/>
              </w:rPr>
              <w:t>Three Months Ended September 30, 2025</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rPr>
              <w:t>MC</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AEC</w:t>
            </w: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Corporate</w:t>
            </w: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revenues</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174,950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86,484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261,434</w:t>
            </w:r>
          </w:p>
        </w:tc>
        <w:tc>
          <w:tcPr>
            <w:tcW w:w="0" w:type="dxa"/>
            <w:vAlign w:val="bottom"/>
          </w:tcPr>
          <w:p>
            <w:pPr>
              <w:spacing w:after="0"/>
              <w:rPr>
                <w:sz w:val="1"/>
                <w:szCs w:val="1"/>
                <w:color w:val="auto"/>
              </w:rPr>
            </w:pPr>
          </w:p>
        </w:tc>
      </w:tr>
      <w:tr>
        <w:trPr>
          <w:trHeight w:val="215"/>
        </w:trPr>
        <w:tc>
          <w:tcPr>
            <w:tcW w:w="4720" w:type="dxa"/>
            <w:vAlign w:val="bottom"/>
          </w:tcPr>
          <w:p>
            <w:pPr>
              <w:ind w:left="20"/>
              <w:spacing w:after="0"/>
              <w:rPr>
                <w:sz w:val="20"/>
                <w:szCs w:val="20"/>
                <w:color w:val="auto"/>
              </w:rPr>
            </w:pPr>
            <w:r>
              <w:rPr>
                <w:rFonts w:ascii="Arial" w:cs="Arial" w:eastAsia="Arial" w:hAnsi="Arial"/>
                <w:sz w:val="16"/>
                <w:szCs w:val="16"/>
                <w:color w:val="auto"/>
              </w:rPr>
              <w:t>Cost of goods sold</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92,880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218,492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6"/>
                <w:szCs w:val="16"/>
                <w:color w:val="auto"/>
              </w:rPr>
              <w:t>311,372</w:t>
            </w: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Gross profit</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82,070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(132,008)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(49,938)</w:t>
            </w:r>
          </w:p>
        </w:tc>
        <w:tc>
          <w:tcPr>
            <w:tcW w:w="0" w:type="dxa"/>
            <w:vAlign w:val="bottom"/>
          </w:tcPr>
          <w:p>
            <w:pPr>
              <w:spacing w:after="0"/>
              <w:rPr>
                <w:sz w:val="1"/>
                <w:szCs w:val="1"/>
                <w:color w:val="auto"/>
              </w:rPr>
            </w:pPr>
          </w:p>
        </w:tc>
      </w:tr>
      <w:tr>
        <w:trPr>
          <w:trHeight w:val="215"/>
        </w:trPr>
        <w:tc>
          <w:tcPr>
            <w:tcW w:w="472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30,291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12,218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9,396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6"/>
                <w:szCs w:val="16"/>
                <w:color w:val="auto"/>
              </w:rPr>
              <w:t>51,905</w:t>
            </w:r>
          </w:p>
        </w:tc>
        <w:tc>
          <w:tcPr>
            <w:tcW w:w="0" w:type="dxa"/>
            <w:vAlign w:val="bottom"/>
          </w:tcPr>
          <w:p>
            <w:pPr>
              <w:spacing w:after="0"/>
              <w:rPr>
                <w:sz w:val="1"/>
                <w:szCs w:val="1"/>
                <w:color w:val="auto"/>
              </w:rPr>
            </w:pPr>
          </w:p>
        </w:tc>
      </w:tr>
      <w:tr>
        <w:trPr>
          <w:trHeight w:val="217"/>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Technical and research expenses</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6,716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3,673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1,078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11,467</w:t>
            </w:r>
          </w:p>
        </w:tc>
        <w:tc>
          <w:tcPr>
            <w:tcW w:w="0" w:type="dxa"/>
            <w:vAlign w:val="bottom"/>
          </w:tcPr>
          <w:p>
            <w:pPr>
              <w:spacing w:after="0"/>
              <w:rPr>
                <w:sz w:val="1"/>
                <w:szCs w:val="1"/>
                <w:color w:val="auto"/>
              </w:rPr>
            </w:pPr>
          </w:p>
        </w:tc>
      </w:tr>
      <w:tr>
        <w:trPr>
          <w:trHeight w:val="215"/>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Restructuring expenses, net</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1,960</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113</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1,124</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3,197</w:t>
            </w:r>
          </w:p>
        </w:tc>
        <w:tc>
          <w:tcPr>
            <w:tcW w:w="0" w:type="dxa"/>
            <w:vAlign w:val="bottom"/>
          </w:tcPr>
          <w:p>
            <w:pPr>
              <w:spacing w:after="0"/>
              <w:rPr>
                <w:sz w:val="1"/>
                <w:szCs w:val="1"/>
                <w:color w:val="auto"/>
              </w:rPr>
            </w:pPr>
          </w:p>
        </w:tc>
      </w:tr>
      <w:tr>
        <w:trPr>
          <w:trHeight w:val="235"/>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income/(loss)</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43,103</w:t>
            </w:r>
          </w:p>
        </w:tc>
        <w:tc>
          <w:tcPr>
            <w:tcW w:w="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(148,012)</w:t>
            </w:r>
          </w:p>
        </w:tc>
        <w:tc>
          <w:tcPr>
            <w:tcW w:w="8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(11,598)</w:t>
            </w:r>
          </w:p>
        </w:tc>
        <w:tc>
          <w:tcPr>
            <w:tcW w:w="1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(116,507)</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1620" w:type="dxa"/>
            <w:vAlign w:val="bottom"/>
            <w:tcBorders>
              <w:top w:val="single" w:sz="8" w:color="CCEEFF"/>
              <w:bottom w:val="single" w:sz="8" w:color="auto"/>
            </w:tcBorders>
            <w:gridSpan w:val="4"/>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4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7"/>
          </w:tcPr>
          <w:p>
            <w:pPr>
              <w:jc w:val="center"/>
              <w:ind w:right="220"/>
              <w:spacing w:after="0"/>
              <w:rPr>
                <w:sz w:val="20"/>
                <w:szCs w:val="20"/>
                <w:color w:val="auto"/>
              </w:rPr>
            </w:pPr>
            <w:r>
              <w:rPr>
                <w:rFonts w:ascii="Arial" w:cs="Arial" w:eastAsia="Arial" w:hAnsi="Arial"/>
                <w:sz w:val="14"/>
                <w:szCs w:val="14"/>
                <w:b w:val="1"/>
                <w:bCs w:val="1"/>
                <w:color w:val="auto"/>
              </w:rPr>
              <w:t>Nine Months Ended September 30, 2026</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rPr>
              <w:t>MC</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AEC</w:t>
            </w: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Corporate</w:t>
            </w: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514,464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475,890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990,354</w:t>
            </w:r>
          </w:p>
        </w:tc>
        <w:tc>
          <w:tcPr>
            <w:tcW w:w="0" w:type="dxa"/>
            <w:vAlign w:val="bottom"/>
          </w:tcPr>
          <w:p>
            <w:pPr>
              <w:spacing w:after="0"/>
              <w:rPr>
                <w:sz w:val="1"/>
                <w:szCs w:val="1"/>
                <w:color w:val="auto"/>
              </w:rPr>
            </w:pPr>
          </w:p>
        </w:tc>
      </w:tr>
      <w:tr>
        <w:trPr>
          <w:trHeight w:val="216"/>
        </w:trPr>
        <w:tc>
          <w:tcPr>
            <w:tcW w:w="4720" w:type="dxa"/>
            <w:vAlign w:val="bottom"/>
          </w:tcPr>
          <w:p>
            <w:pPr>
              <w:ind w:left="20"/>
              <w:spacing w:after="0"/>
              <w:rPr>
                <w:sz w:val="20"/>
                <w:szCs w:val="20"/>
                <w:color w:val="auto"/>
              </w:rPr>
            </w:pPr>
            <w:r>
              <w:rPr>
                <w:rFonts w:ascii="Arial" w:cs="Arial" w:eastAsia="Arial" w:hAnsi="Arial"/>
                <w:sz w:val="16"/>
                <w:szCs w:val="16"/>
                <w:color w:val="auto"/>
              </w:rPr>
              <w:t>Cost of goods sold</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b w:val="1"/>
                <w:bCs w:val="1"/>
                <w:color w:val="auto"/>
              </w:rPr>
              <w:t>283,087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b w:val="1"/>
                <w:bCs w:val="1"/>
                <w:color w:val="auto"/>
              </w:rPr>
              <w:t>359,194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99"/>
              </w:rPr>
              <w:t>—</w:t>
            </w:r>
          </w:p>
        </w:tc>
        <w:tc>
          <w:tcPr>
            <w:tcW w:w="2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642,281</w:t>
            </w: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231,377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116,696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348,073</w:t>
            </w:r>
          </w:p>
        </w:tc>
        <w:tc>
          <w:tcPr>
            <w:tcW w:w="0" w:type="dxa"/>
            <w:vAlign w:val="bottom"/>
          </w:tcPr>
          <w:p>
            <w:pPr>
              <w:spacing w:after="0"/>
              <w:rPr>
                <w:sz w:val="1"/>
                <w:szCs w:val="1"/>
                <w:color w:val="auto"/>
              </w:rPr>
            </w:pPr>
          </w:p>
        </w:tc>
      </w:tr>
      <w:tr>
        <w:trPr>
          <w:trHeight w:val="216"/>
        </w:trPr>
        <w:tc>
          <w:tcPr>
            <w:tcW w:w="472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b w:val="1"/>
                <w:bCs w:val="1"/>
                <w:color w:val="auto"/>
              </w:rPr>
              <w:t>97,710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b w:val="1"/>
                <w:bCs w:val="1"/>
                <w:color w:val="auto"/>
              </w:rPr>
              <w:t>40,067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b w:val="1"/>
                <w:bCs w:val="1"/>
                <w:color w:val="auto"/>
              </w:rPr>
              <w:t>38,091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175,868</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Technical and research expenses</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19,960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13,256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3,649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36,865</w:t>
            </w:r>
          </w:p>
        </w:tc>
        <w:tc>
          <w:tcPr>
            <w:tcW w:w="0" w:type="dxa"/>
            <w:vAlign w:val="bottom"/>
          </w:tcPr>
          <w:p>
            <w:pPr>
              <w:spacing w:after="0"/>
              <w:rPr>
                <w:sz w:val="1"/>
                <w:szCs w:val="1"/>
                <w:color w:val="auto"/>
              </w:rPr>
            </w:pPr>
          </w:p>
        </w:tc>
      </w:tr>
      <w:tr>
        <w:trPr>
          <w:trHeight w:val="216"/>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Restructuring expenses, net</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15,892</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2,539</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18,431</w:t>
            </w:r>
          </w:p>
        </w:tc>
        <w:tc>
          <w:tcPr>
            <w:tcW w:w="0" w:type="dxa"/>
            <w:vAlign w:val="bottom"/>
          </w:tcPr>
          <w:p>
            <w:pPr>
              <w:spacing w:after="0"/>
              <w:rPr>
                <w:sz w:val="1"/>
                <w:szCs w:val="1"/>
                <w:color w:val="auto"/>
              </w:rPr>
            </w:pPr>
          </w:p>
        </w:tc>
      </w:tr>
      <w:tr>
        <w:trPr>
          <w:trHeight w:val="235"/>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income/(loss)</w:t>
            </w: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97,815</w:t>
            </w:r>
          </w:p>
        </w:tc>
        <w:tc>
          <w:tcPr>
            <w:tcW w:w="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63,373</w:t>
            </w: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(44,279)</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116,909</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120" w:type="dxa"/>
            <w:vAlign w:val="bottom"/>
            <w:tcBorders>
              <w:top w:val="single" w:sz="8" w:color="CCEEFF"/>
              <w:bottom w:val="single" w:sz="8" w:color="auto"/>
            </w:tcBorders>
            <w:gridSpan w:val="7"/>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4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7"/>
          </w:tcPr>
          <w:p>
            <w:pPr>
              <w:jc w:val="center"/>
              <w:ind w:right="220"/>
              <w:spacing w:after="0"/>
              <w:rPr>
                <w:sz w:val="20"/>
                <w:szCs w:val="20"/>
                <w:color w:val="auto"/>
              </w:rPr>
            </w:pPr>
            <w:r>
              <w:rPr>
                <w:rFonts w:ascii="Arial" w:cs="Arial" w:eastAsia="Arial" w:hAnsi="Arial"/>
                <w:sz w:val="14"/>
                <w:szCs w:val="14"/>
                <w:b w:val="1"/>
                <w:bCs w:val="1"/>
                <w:color w:val="auto"/>
              </w:rPr>
              <w:t>Nine Months Ended September 30, 2025</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rPr>
              <w:t>MC</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AEC</w:t>
            </w: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Corporate</w:t>
            </w: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1"/>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revenues</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530,573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331,034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861,607</w:t>
            </w:r>
          </w:p>
        </w:tc>
        <w:tc>
          <w:tcPr>
            <w:tcW w:w="0" w:type="dxa"/>
            <w:vAlign w:val="bottom"/>
          </w:tcPr>
          <w:p>
            <w:pPr>
              <w:spacing w:after="0"/>
              <w:rPr>
                <w:sz w:val="1"/>
                <w:szCs w:val="1"/>
                <w:color w:val="auto"/>
              </w:rPr>
            </w:pPr>
          </w:p>
        </w:tc>
      </w:tr>
      <w:tr>
        <w:trPr>
          <w:trHeight w:val="215"/>
        </w:trPr>
        <w:tc>
          <w:tcPr>
            <w:tcW w:w="4720" w:type="dxa"/>
            <w:vAlign w:val="bottom"/>
          </w:tcPr>
          <w:p>
            <w:pPr>
              <w:ind w:left="20"/>
              <w:spacing w:after="0"/>
              <w:rPr>
                <w:sz w:val="20"/>
                <w:szCs w:val="20"/>
                <w:color w:val="auto"/>
              </w:rPr>
            </w:pPr>
            <w:r>
              <w:rPr>
                <w:rFonts w:ascii="Arial" w:cs="Arial" w:eastAsia="Arial" w:hAnsi="Arial"/>
                <w:sz w:val="16"/>
                <w:szCs w:val="16"/>
                <w:color w:val="auto"/>
              </w:rPr>
              <w:t>Cost of goods sold</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284,842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432,710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6"/>
                <w:szCs w:val="16"/>
                <w:color w:val="auto"/>
              </w:rPr>
              <w:t>717,552</w:t>
            </w: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Gross profit</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245,731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(101,676)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144,055</w:t>
            </w:r>
          </w:p>
        </w:tc>
        <w:tc>
          <w:tcPr>
            <w:tcW w:w="0" w:type="dxa"/>
            <w:vAlign w:val="bottom"/>
          </w:tcPr>
          <w:p>
            <w:pPr>
              <w:spacing w:after="0"/>
              <w:rPr>
                <w:sz w:val="1"/>
                <w:szCs w:val="1"/>
                <w:color w:val="auto"/>
              </w:rPr>
            </w:pPr>
          </w:p>
        </w:tc>
      </w:tr>
      <w:tr>
        <w:trPr>
          <w:trHeight w:val="215"/>
        </w:trPr>
        <w:tc>
          <w:tcPr>
            <w:tcW w:w="472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98,841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34,121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31,257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6"/>
                <w:szCs w:val="16"/>
                <w:color w:val="auto"/>
              </w:rPr>
              <w:t>164,219</w:t>
            </w:r>
          </w:p>
        </w:tc>
        <w:tc>
          <w:tcPr>
            <w:tcW w:w="0" w:type="dxa"/>
            <w:vAlign w:val="bottom"/>
          </w:tcPr>
          <w:p>
            <w:pPr>
              <w:spacing w:after="0"/>
              <w:rPr>
                <w:sz w:val="1"/>
                <w:szCs w:val="1"/>
                <w:color w:val="auto"/>
              </w:rPr>
            </w:pPr>
          </w:p>
        </w:tc>
      </w:tr>
      <w:tr>
        <w:trPr>
          <w:trHeight w:val="217"/>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Technical and research expenses</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21,332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11,472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35,915</w:t>
            </w:r>
          </w:p>
        </w:tc>
        <w:tc>
          <w:tcPr>
            <w:tcW w:w="0" w:type="dxa"/>
            <w:vAlign w:val="bottom"/>
          </w:tcPr>
          <w:p>
            <w:pPr>
              <w:spacing w:after="0"/>
              <w:rPr>
                <w:sz w:val="1"/>
                <w:szCs w:val="1"/>
                <w:color w:val="auto"/>
              </w:rPr>
            </w:pPr>
          </w:p>
        </w:tc>
      </w:tr>
      <w:tr>
        <w:trPr>
          <w:trHeight w:val="215"/>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Restructuring expenses, net</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6,322</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1,801</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1,772</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9,895</w:t>
            </w:r>
          </w:p>
        </w:tc>
        <w:tc>
          <w:tcPr>
            <w:tcW w:w="0" w:type="dxa"/>
            <w:vAlign w:val="bottom"/>
          </w:tcPr>
          <w:p>
            <w:pPr>
              <w:spacing w:after="0"/>
              <w:rPr>
                <w:sz w:val="1"/>
                <w:szCs w:val="1"/>
                <w:color w:val="auto"/>
              </w:rPr>
            </w:pPr>
          </w:p>
        </w:tc>
      </w:tr>
      <w:tr>
        <w:trPr>
          <w:trHeight w:val="235"/>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income/(loss)</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119,236</w:t>
            </w:r>
          </w:p>
        </w:tc>
        <w:tc>
          <w:tcPr>
            <w:tcW w:w="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(149,070)</w:t>
            </w:r>
          </w:p>
        </w:tc>
        <w:tc>
          <w:tcPr>
            <w:tcW w:w="8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(36,140)</w:t>
            </w:r>
          </w:p>
        </w:tc>
        <w:tc>
          <w:tcPr>
            <w:tcW w:w="1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(65,974)</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Schedule of Depreciation and Amortization Expenses:</w:t>
            </w: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47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7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820" w:type="dxa"/>
            <w:vAlign w:val="bottom"/>
            <w:tcBorders>
              <w:bottom w:val="single" w:sz="8" w:color="auto"/>
            </w:tcBorders>
            <w:gridSpan w:val="4"/>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760" w:type="dxa"/>
            <w:vAlign w:val="bottom"/>
            <w:tcBorders>
              <w:bottom w:val="single" w:sz="8" w:color="auto"/>
            </w:tcBorders>
            <w:gridSpan w:val="5"/>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4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20" w:type="dxa"/>
            <w:vAlign w:val="bottom"/>
            <w:gridSpan w:val="4"/>
          </w:tcPr>
          <w:p>
            <w:pPr>
              <w:jc w:val="right"/>
              <w:ind w:right="221"/>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4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10"/>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Borders>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2025</w:t>
            </w:r>
          </w:p>
        </w:tc>
        <w:tc>
          <w:tcPr>
            <w:tcW w:w="1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2026</w:t>
            </w:r>
          </w:p>
        </w:tc>
        <w:tc>
          <w:tcPr>
            <w:tcW w:w="2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Depreciation and amortization</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0"/>
              <w:spacing w:after="0"/>
              <w:rPr>
                <w:sz w:val="20"/>
                <w:szCs w:val="20"/>
                <w:color w:val="auto"/>
              </w:rPr>
            </w:pPr>
            <w:r>
              <w:rPr>
                <w:rFonts w:ascii="Arial" w:cs="Arial" w:eastAsia="Arial" w:hAnsi="Arial"/>
                <w:sz w:val="16"/>
                <w:szCs w:val="16"/>
                <w:color w:val="auto"/>
              </w:rPr>
              <w:t>Machine Clothing</w:t>
            </w:r>
          </w:p>
        </w:tc>
        <w:tc>
          <w:tcPr>
            <w:tcW w:w="30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w:t>
            </w:r>
          </w:p>
        </w:tc>
        <w:tc>
          <w:tcPr>
            <w:tcW w:w="1320" w:type="dxa"/>
            <w:vAlign w:val="bottom"/>
          </w:tcPr>
          <w:p>
            <w:pPr>
              <w:jc w:val="right"/>
              <w:ind w:right="1"/>
              <w:spacing w:after="0"/>
              <w:rPr>
                <w:sz w:val="20"/>
                <w:szCs w:val="20"/>
                <w:color w:val="auto"/>
              </w:rPr>
            </w:pPr>
            <w:r>
              <w:rPr>
                <w:rFonts w:ascii="Arial" w:cs="Arial" w:eastAsia="Arial" w:hAnsi="Arial"/>
                <w:sz w:val="16"/>
                <w:szCs w:val="16"/>
                <w:b w:val="1"/>
                <w:bCs w:val="1"/>
                <w:color w:val="auto"/>
              </w:rPr>
              <w:t>8,372</w:t>
            </w:r>
          </w:p>
        </w:tc>
        <w:tc>
          <w:tcPr>
            <w:tcW w:w="240" w:type="dxa"/>
            <w:vAlign w:val="bottom"/>
            <w:gridSpan w:val="2"/>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8,604</w:t>
            </w:r>
          </w:p>
        </w:tc>
        <w:tc>
          <w:tcPr>
            <w:tcW w:w="2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25,096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24,283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Albany Engineered Composites</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22,503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13,479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39,852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40,229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Corporate</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41</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w:t>
            </w: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115</w:t>
            </w: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Consolidated depreciation and amortization</w:t>
            </w:r>
          </w:p>
        </w:tc>
        <w:tc>
          <w:tcPr>
            <w:tcW w:w="300" w:type="dxa"/>
            <w:vAlign w:val="bottom"/>
            <w:tcBorders>
              <w:bottom w:val="single" w:sz="8" w:color="auto"/>
            </w:tcBorders>
            <w:gridSpan w:val="3"/>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30,916</w:t>
            </w:r>
          </w:p>
        </w:tc>
        <w:tc>
          <w:tcPr>
            <w:tcW w:w="240" w:type="dxa"/>
            <w:vAlign w:val="bottom"/>
            <w:tcBorders>
              <w:bottom w:val="single" w:sz="8" w:color="auto"/>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22,438</w:t>
            </w:r>
          </w:p>
        </w:tc>
        <w:tc>
          <w:tcPr>
            <w:tcW w:w="2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65,063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65,480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As a result of the Amelia Earhart Drive facility meeting the held-for-sale accounting criteria, the facility's assets and liabilities were classified as held-for-sale in the consolidated balance sheets as of December 31, 2025. Upon classification as held for sale, the Company ceased depreciation and amortization of the related long-lived assets in accordance with applicable accounting guidance. As of September 30, 2026, the Company concluded the net assets at the site no longer met the criteria to be classified as held for sale and therefore, resumed depreciation and amortization of the long-lived assets including catch-up on unrecognized expense from earlier in the year. See Note 19, </w:t>
      </w:r>
      <w:r>
        <w:rPr>
          <w:rFonts w:ascii="Arial" w:cs="Arial" w:eastAsia="Arial" w:hAnsi="Arial"/>
          <w:sz w:val="18"/>
          <w:szCs w:val="18"/>
          <w:i w:val="1"/>
          <w:iCs w:val="1"/>
          <w:color w:val="auto"/>
        </w:rPr>
        <w:t xml:space="preserve">Held for Sale, </w:t>
      </w:r>
      <w:r>
        <w:rPr>
          <w:rFonts w:ascii="Arial" w:cs="Arial" w:eastAsia="Arial" w:hAnsi="Arial"/>
          <w:sz w:val="18"/>
          <w:szCs w:val="18"/>
          <w:color w:val="auto"/>
        </w:rPr>
        <w:t>of the Notes to the Consolidated Financial Statements for further details.</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Operating Income/(loss) to Income before income taxes: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7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860" w:type="dxa"/>
            <w:vAlign w:val="bottom"/>
            <w:tcBorders>
              <w:top w:val="single" w:sz="8" w:color="auto"/>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Borders>
              <w:top w:val="single" w:sz="8" w:color="auto"/>
              <w:bottom w:val="single" w:sz="8" w:color="auto"/>
            </w:tcBorders>
          </w:tcPr>
          <w:p>
            <w:pPr>
              <w:spacing w:after="0"/>
              <w:rPr>
                <w:sz w:val="18"/>
                <w:szCs w:val="18"/>
                <w:color w:val="auto"/>
              </w:rPr>
            </w:pPr>
          </w:p>
        </w:tc>
        <w:tc>
          <w:tcPr>
            <w:tcW w:w="2860" w:type="dxa"/>
            <w:vAlign w:val="bottom"/>
            <w:tcBorders>
              <w:top w:val="single" w:sz="8" w:color="auto"/>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Nine months ended September 30,</w:t>
            </w:r>
          </w:p>
        </w:tc>
      </w:tr>
      <w:tr>
        <w:trPr>
          <w:trHeight w:val="211"/>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2026</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2025</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2026</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2025</w:t>
            </w:r>
          </w:p>
        </w:tc>
      </w:tr>
      <w:tr>
        <w:trPr>
          <w:trHeight w:val="210"/>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income/(loss)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4780" w:type="dxa"/>
            <w:vAlign w:val="bottom"/>
          </w:tcPr>
          <w:p>
            <w:pPr>
              <w:ind w:left="20"/>
              <w:spacing w:after="0"/>
              <w:rPr>
                <w:sz w:val="20"/>
                <w:szCs w:val="20"/>
                <w:color w:val="auto"/>
              </w:rPr>
            </w:pPr>
            <w:r>
              <w:rPr>
                <w:rFonts w:ascii="Arial" w:cs="Arial" w:eastAsia="Arial" w:hAnsi="Arial"/>
                <w:sz w:val="16"/>
                <w:szCs w:val="16"/>
                <w:color w:val="auto"/>
              </w:rPr>
              <w:t>Machine Clothing</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31,158</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43,103</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320" w:type="dxa"/>
            <w:vAlign w:val="bottom"/>
          </w:tcPr>
          <w:p>
            <w:pPr>
              <w:jc w:val="right"/>
              <w:ind w:right="1"/>
              <w:spacing w:after="0"/>
              <w:rPr>
                <w:sz w:val="20"/>
                <w:szCs w:val="20"/>
                <w:color w:val="auto"/>
              </w:rPr>
            </w:pPr>
            <w:r>
              <w:rPr>
                <w:rFonts w:ascii="Arial" w:cs="Arial" w:eastAsia="Arial" w:hAnsi="Arial"/>
                <w:sz w:val="16"/>
                <w:szCs w:val="16"/>
                <w:b w:val="1"/>
                <w:bCs w:val="1"/>
                <w:color w:val="auto"/>
              </w:rPr>
              <w:t>97,815</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119,236</w:t>
            </w: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Albany Engineered Composites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43,346</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(148,012)</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63,373</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(149,070)</w:t>
            </w:r>
          </w:p>
        </w:tc>
      </w:tr>
      <w:tr>
        <w:trPr>
          <w:trHeight w:val="216"/>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Corporate</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(15,106)</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(11,598)</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(44,279)</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(36,140)</w:t>
            </w:r>
          </w:p>
        </w:tc>
      </w:tr>
      <w:tr>
        <w:trPr>
          <w:trHeight w:val="209"/>
        </w:trPr>
        <w:tc>
          <w:tcPr>
            <w:tcW w:w="4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Consolidated Operating income/(loss)</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59,398</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(116,507)</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116,909</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(65,974)</w:t>
            </w:r>
          </w:p>
        </w:tc>
      </w:tr>
      <w:tr>
        <w:trPr>
          <w:trHeight w:val="229"/>
        </w:trPr>
        <w:tc>
          <w:tcPr>
            <w:tcW w:w="4780" w:type="dxa"/>
            <w:vAlign w:val="bottom"/>
          </w:tcPr>
          <w:p>
            <w:pPr>
              <w:ind w:left="20"/>
              <w:spacing w:after="0"/>
              <w:rPr>
                <w:sz w:val="20"/>
                <w:szCs w:val="20"/>
                <w:color w:val="auto"/>
              </w:rPr>
            </w:pPr>
            <w:r>
              <w:rPr>
                <w:rFonts w:ascii="Arial" w:cs="Arial" w:eastAsia="Arial" w:hAnsi="Arial"/>
                <w:sz w:val="16"/>
                <w:szCs w:val="16"/>
                <w:color w:val="auto"/>
              </w:rPr>
              <w:t>Reconciling items:</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4"/>
        </w:trPr>
        <w:tc>
          <w:tcPr>
            <w:tcW w:w="4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income</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(1,167)</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(1,114)</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(2,742)</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(4,157)</w:t>
            </w:r>
          </w:p>
        </w:tc>
      </w:tr>
      <w:tr>
        <w:trPr>
          <w:trHeight w:val="243"/>
        </w:trPr>
        <w:tc>
          <w:tcPr>
            <w:tcW w:w="478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6,504</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7,011</w:t>
            </w:r>
          </w:p>
        </w:tc>
        <w:tc>
          <w:tcPr>
            <w:tcW w:w="240" w:type="dxa"/>
            <w:vAlign w:val="bottom"/>
          </w:tcPr>
          <w:p>
            <w:pPr>
              <w:spacing w:after="0"/>
              <w:rPr>
                <w:sz w:val="21"/>
                <w:szCs w:val="21"/>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b w:val="1"/>
                <w:bCs w:val="1"/>
                <w:color w:val="auto"/>
              </w:rPr>
              <w:t>19,614</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18,859</w:t>
            </w:r>
          </w:p>
        </w:tc>
      </w:tr>
      <w:tr>
        <w:trPr>
          <w:trHeight w:val="216"/>
        </w:trPr>
        <w:tc>
          <w:tcPr>
            <w:tcW w:w="47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Other (income)/expense, net</w:t>
            </w: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(1,727)</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(4,881)</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4,170</w:t>
            </w:r>
          </w:p>
        </w:tc>
      </w:tr>
      <w:tr>
        <w:trPr>
          <w:trHeight w:val="209"/>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before income taxes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55,788</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(122,057)</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104,918</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(84,846)</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assets by reportable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69951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5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September 30, 2026</w:t>
            </w: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December 31, 2025</w:t>
            </w:r>
          </w:p>
        </w:tc>
      </w:tr>
      <w:tr>
        <w:trPr>
          <w:trHeight w:val="211"/>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Segment assets</w:t>
            </w:r>
          </w:p>
        </w:tc>
        <w:tc>
          <w:tcPr>
            <w:tcW w:w="15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6"/>
        </w:trPr>
        <w:tc>
          <w:tcPr>
            <w:tcW w:w="6300" w:type="dxa"/>
            <w:vAlign w:val="bottom"/>
          </w:tcPr>
          <w:p>
            <w:pPr>
              <w:ind w:left="20"/>
              <w:spacing w:after="0"/>
              <w:rPr>
                <w:sz w:val="20"/>
                <w:szCs w:val="20"/>
                <w:color w:val="auto"/>
              </w:rPr>
            </w:pPr>
            <w:r>
              <w:rPr>
                <w:rFonts w:ascii="Arial" w:cs="Arial" w:eastAsia="Arial" w:hAnsi="Arial"/>
                <w:sz w:val="16"/>
                <w:szCs w:val="16"/>
                <w:color w:val="auto"/>
              </w:rPr>
              <w:t>Machine Clothing</w:t>
            </w:r>
          </w:p>
        </w:tc>
        <w:tc>
          <w:tcPr>
            <w:tcW w:w="1580" w:type="dxa"/>
            <w:vAlign w:val="bottom"/>
          </w:tcPr>
          <w:p>
            <w:pPr>
              <w:ind w:left="1480"/>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623,751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618,476</w:t>
            </w:r>
          </w:p>
        </w:tc>
      </w:tr>
      <w:tr>
        <w:trPr>
          <w:trHeight w:val="216"/>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Albany Engineered Composites</w:t>
            </w:r>
          </w:p>
        </w:tc>
        <w:tc>
          <w:tcPr>
            <w:tcW w:w="15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740,898</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491,802</w:t>
            </w:r>
          </w:p>
        </w:tc>
      </w:tr>
      <w:tr>
        <w:trPr>
          <w:trHeight w:val="215"/>
        </w:trPr>
        <w:tc>
          <w:tcPr>
            <w:tcW w:w="6300" w:type="dxa"/>
            <w:vAlign w:val="bottom"/>
          </w:tcPr>
          <w:p>
            <w:pPr>
              <w:ind w:left="20"/>
              <w:spacing w:after="0"/>
              <w:rPr>
                <w:sz w:val="20"/>
                <w:szCs w:val="20"/>
                <w:color w:val="auto"/>
              </w:rPr>
            </w:pPr>
            <w:r>
              <w:rPr>
                <w:rFonts w:ascii="Arial" w:cs="Arial" w:eastAsia="Arial" w:hAnsi="Arial"/>
                <w:sz w:val="16"/>
                <w:szCs w:val="16"/>
                <w:color w:val="auto"/>
              </w:rPr>
              <w:t>Reconciling items:</w:t>
            </w:r>
          </w:p>
        </w:tc>
        <w:tc>
          <w:tcPr>
            <w:tcW w:w="1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7"/>
        </w:trPr>
        <w:tc>
          <w:tcPr>
            <w:tcW w:w="6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w:t>
            </w:r>
          </w:p>
        </w:tc>
        <w:tc>
          <w:tcPr>
            <w:tcW w:w="15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79,125</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112,350</w:t>
            </w:r>
          </w:p>
        </w:tc>
      </w:tr>
      <w:tr>
        <w:trPr>
          <w:trHeight w:val="216"/>
        </w:trPr>
        <w:tc>
          <w:tcPr>
            <w:tcW w:w="6300" w:type="dxa"/>
            <w:vAlign w:val="bottom"/>
          </w:tcPr>
          <w:p>
            <w:pPr>
              <w:ind w:left="140"/>
              <w:spacing w:after="0"/>
              <w:rPr>
                <w:sz w:val="20"/>
                <w:szCs w:val="20"/>
                <w:color w:val="auto"/>
              </w:rPr>
            </w:pPr>
            <w:r>
              <w:rPr>
                <w:rFonts w:ascii="Arial" w:cs="Arial" w:eastAsia="Arial" w:hAnsi="Arial"/>
                <w:sz w:val="16"/>
                <w:szCs w:val="16"/>
                <w:color w:val="auto"/>
              </w:rPr>
              <w:t>Income taxes prepaid and receivable, and Deferred income taxes</w:t>
            </w:r>
          </w:p>
        </w:tc>
        <w:tc>
          <w:tcPr>
            <w:tcW w:w="15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91,862</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112,436</w:t>
            </w:r>
          </w:p>
        </w:tc>
      </w:tr>
      <w:tr>
        <w:trPr>
          <w:trHeight w:val="216"/>
        </w:trPr>
        <w:tc>
          <w:tcPr>
            <w:tcW w:w="6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Prepaid expenses and other current assets, and Other assets</w:t>
            </w:r>
          </w:p>
        </w:tc>
        <w:tc>
          <w:tcPr>
            <w:tcW w:w="15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149,981</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89,862</w:t>
            </w:r>
          </w:p>
        </w:tc>
      </w:tr>
      <w:tr>
        <w:trPr>
          <w:trHeight w:val="215"/>
        </w:trPr>
        <w:tc>
          <w:tcPr>
            <w:tcW w:w="63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Assets held for sale</w:t>
            </w:r>
          </w:p>
        </w:tc>
        <w:tc>
          <w:tcPr>
            <w:tcW w:w="158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Arial" w:cs="Arial" w:eastAsia="Arial" w:hAnsi="Arial"/>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293,783</w:t>
            </w:r>
          </w:p>
        </w:tc>
      </w:tr>
      <w:tr>
        <w:trPr>
          <w:trHeight w:val="210"/>
        </w:trPr>
        <w:tc>
          <w:tcPr>
            <w:tcW w:w="6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Consolidated total assets</w:t>
            </w:r>
          </w:p>
        </w:tc>
        <w:tc>
          <w:tcPr>
            <w:tcW w:w="15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1,685,617</w:t>
            </w: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1,718,709</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capital expenditures by reportable segment: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74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3000" w:type="dxa"/>
            <w:vAlign w:val="bottom"/>
            <w:tcBorders>
              <w:top w:val="single" w:sz="8" w:color="auto"/>
              <w:bottom w:val="single" w:sz="8" w:color="auto"/>
            </w:tcBorders>
            <w:gridSpan w:val="3"/>
          </w:tcPr>
          <w:p>
            <w:pPr>
              <w:jc w:val="right"/>
              <w:ind w:right="381"/>
              <w:spacing w:after="0"/>
              <w:rPr>
                <w:sz w:val="20"/>
                <w:szCs w:val="20"/>
                <w:color w:val="auto"/>
              </w:rPr>
            </w:pPr>
            <w:r>
              <w:rPr>
                <w:rFonts w:ascii="Arial" w:cs="Arial" w:eastAsia="Arial" w:hAnsi="Arial"/>
                <w:sz w:val="14"/>
                <w:szCs w:val="14"/>
                <w:b w:val="1"/>
                <w:bCs w:val="1"/>
                <w:color w:val="auto"/>
              </w:rPr>
              <w:t>Nine months ended September 30,</w:t>
            </w:r>
          </w:p>
        </w:tc>
      </w:tr>
      <w:tr>
        <w:trPr>
          <w:trHeight w:val="211"/>
        </w:trPr>
        <w:tc>
          <w:tcPr>
            <w:tcW w:w="7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2026</w:t>
            </w: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2025</w:t>
            </w:r>
          </w:p>
        </w:tc>
      </w:tr>
      <w:tr>
        <w:trPr>
          <w:trHeight w:val="210"/>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Capital expenditures and purchased software</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Arial" w:cs="Arial" w:eastAsia="Arial" w:hAnsi="Arial"/>
                <w:sz w:val="16"/>
                <w:szCs w:val="16"/>
                <w:color w:val="auto"/>
              </w:rPr>
              <w:t>Machine Clothing</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16,280</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20,387</w:t>
            </w:r>
          </w:p>
        </w:tc>
      </w:tr>
      <w:tr>
        <w:trPr>
          <w:trHeight w:val="216"/>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Albany Engineered Composites</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14,938</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28,422</w:t>
            </w:r>
          </w:p>
        </w:tc>
      </w:tr>
      <w:tr>
        <w:trPr>
          <w:trHeight w:val="216"/>
        </w:trPr>
        <w:tc>
          <w:tcPr>
            <w:tcW w:w="7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Corporate</w:t>
            </w: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2,114</w:t>
            </w: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r>
      <w:tr>
        <w:trPr>
          <w:trHeight w:val="210"/>
        </w:trPr>
        <w:tc>
          <w:tcPr>
            <w:tcW w:w="7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capital expenditures and purchased software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33,332</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48,809</w:t>
            </w:r>
          </w:p>
        </w:tc>
      </w:tr>
    </w:tbl>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Revenue Recognition:</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Products and services provided under long-term contracts represent a significant portion of revenues in the Albany Engineered Composites segment and we account for these contracts over time, primarily using the percentage of completion (actual cost to estimated cost) method. That method requires significant judgment and estimation, which could be materially different if the underlying circumstances were to change. When adjustments in estimated contract revenues or costs are required, any changes from prior estimates are included in earnings in the period the change occurs.</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LEAP engine is used on the Airbus A320neo, A321neo, Boeing 737 MAX, and COMAC C919 aircraft. AEC's largest aerospace customer is the SAFRAN Group and sales to SAFRAN (consisting primarily of fan blades and cases for CFM International's LEAP engine) were $ 53.8 million and $46.4 million for the three months ended September 30, 2026 and 2025, respectively and $155.9 million and $130.2 million for the nine months ended September 30, 2026 and 2025. The total of Accounts receivable and Contract assets due from SAFRAN amounted to $53.4 million and $60.8 million as of September 30, 2026 and December 31, 2025, respectively.</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Changes in the estimated profitability of long-term contracts could be caused by increases or decreases in the contract value, revisions to customer delivery requirements, updated labor or overhead projections, material costs, factors affecting the supply chain, changes in the evaluation of contract risks and opportunities, or other factors. The</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cumulative changes in the estimated profitability of long-term contracts increased revenue by $3.5 million during the third quarter of 2026 and $2.0 million for the first nine months of 2026. The cumulative changes in the estimated profitability of long-term contracts increased operating income by $37.9 million which includes a cumulative catch up of depreciation and amortization of assets previously held for sale of $11.0 million during the third quarter of 2026, and increased operating income by $36.3 million which includes a cumulative catch up of depreciation and amortization of assets previously held for sale of $11.0 million for the nine months ended September 30, 2026. The increases in profitability during the three and nine months ended September 30, 2026 were primarily driven by a few large complex programs, including adjustments of $46.7 million and $44.5 million, respectively, for various CH-53K programs, primarily based on increases to the contract value partially offset by changes to future overhead rates over the remainder of the contract.</w:t>
      </w:r>
    </w:p>
    <w:p>
      <w:pPr>
        <w:spacing w:after="0" w:line="7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disaggregate revenue earned from contracts with customers for each of our business segments and product groups based on the timing of revenue recognition, and groupings used for internal review purposes.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revenue for each product group by timing of revenue recognition for the three months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2026:</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3540" w:type="dxa"/>
            <w:vAlign w:val="bottom"/>
            <w:tcBorders>
              <w:top w:val="single" w:sz="8" w:color="auto"/>
              <w:bottom w:val="single" w:sz="8" w:color="auto"/>
            </w:tcBorders>
            <w:gridSpan w:val="4"/>
          </w:tcPr>
          <w:p>
            <w:pPr>
              <w:jc w:val="center"/>
              <w:ind w:left="642"/>
              <w:spacing w:after="0"/>
              <w:rPr>
                <w:sz w:val="20"/>
                <w:szCs w:val="20"/>
                <w:color w:val="auto"/>
              </w:rPr>
            </w:pPr>
            <w:r>
              <w:rPr>
                <w:rFonts w:ascii="Arial" w:cs="Arial" w:eastAsia="Arial" w:hAnsi="Arial"/>
                <w:sz w:val="14"/>
                <w:szCs w:val="14"/>
                <w:b w:val="1"/>
                <w:bCs w:val="1"/>
                <w:color w:val="auto"/>
              </w:rPr>
              <w:t>Three months ended September 30, 2026</w:t>
            </w:r>
          </w:p>
        </w:tc>
        <w:tc>
          <w:tcPr>
            <w:tcW w:w="9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6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58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Point in Time Revenue</w:t>
            </w:r>
          </w:p>
        </w:tc>
        <w:tc>
          <w:tcPr>
            <w:tcW w:w="120" w:type="dxa"/>
            <w:vAlign w:val="bottom"/>
          </w:tcPr>
          <w:p>
            <w:pPr>
              <w:spacing w:after="0"/>
              <w:rPr>
                <w:sz w:val="12"/>
                <w:szCs w:val="12"/>
                <w:color w:val="auto"/>
              </w:rPr>
            </w:pPr>
          </w:p>
        </w:tc>
        <w:tc>
          <w:tcPr>
            <w:tcW w:w="1440" w:type="dxa"/>
            <w:vAlign w:val="bottom"/>
          </w:tcPr>
          <w:p>
            <w:pPr>
              <w:jc w:val="center"/>
              <w:ind w:right="22"/>
              <w:spacing w:after="0" w:line="147" w:lineRule="exact"/>
              <w:rPr>
                <w:sz w:val="20"/>
                <w:szCs w:val="20"/>
                <w:color w:val="auto"/>
              </w:rPr>
            </w:pPr>
            <w:r>
              <w:rPr>
                <w:rFonts w:ascii="Arial" w:cs="Arial" w:eastAsia="Arial" w:hAnsi="Arial"/>
                <w:sz w:val="14"/>
                <w:szCs w:val="14"/>
                <w:b w:val="1"/>
                <w:bCs w:val="1"/>
                <w:color w:val="auto"/>
              </w:rPr>
              <w:t>Over Time Revenue</w:t>
            </w:r>
          </w:p>
        </w:tc>
        <w:tc>
          <w:tcPr>
            <w:tcW w:w="640" w:type="dxa"/>
            <w:vAlign w:val="bottom"/>
          </w:tcPr>
          <w:p>
            <w:pPr>
              <w:spacing w:after="0"/>
              <w:rPr>
                <w:sz w:val="12"/>
                <w:szCs w:val="12"/>
                <w:color w:val="auto"/>
              </w:rPr>
            </w:pPr>
          </w:p>
        </w:tc>
        <w:tc>
          <w:tcPr>
            <w:tcW w:w="960" w:type="dxa"/>
            <w:vAlign w:val="bottom"/>
            <w:vMerge w:val="restart"/>
          </w:tcPr>
          <w:p>
            <w:pPr>
              <w:jc w:val="right"/>
              <w:ind w:right="54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5"/>
        </w:trPr>
        <w:tc>
          <w:tcPr>
            <w:tcW w:w="65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Recognition</w:t>
            </w: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rPr>
              <w:t>Recognition</w:t>
            </w:r>
          </w:p>
        </w:tc>
        <w:tc>
          <w:tcPr>
            <w:tcW w:w="6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168,750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1,052</w:t>
            </w:r>
          </w:p>
        </w:tc>
        <w:tc>
          <w:tcPr>
            <w:tcW w:w="64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169,802</w:t>
            </w:r>
          </w:p>
        </w:tc>
        <w:tc>
          <w:tcPr>
            <w:tcW w:w="0" w:type="dxa"/>
            <w:vAlign w:val="bottom"/>
          </w:tcPr>
          <w:p>
            <w:pPr>
              <w:spacing w:after="0"/>
              <w:rPr>
                <w:sz w:val="1"/>
                <w:szCs w:val="1"/>
                <w:color w:val="auto"/>
              </w:rPr>
            </w:pPr>
          </w:p>
        </w:tc>
      </w:tr>
      <w:tr>
        <w:trPr>
          <w:trHeight w:val="196"/>
        </w:trPr>
        <w:tc>
          <w:tcPr>
            <w:tcW w:w="6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Albany Engineered Composites: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500" w:type="dxa"/>
            <w:vAlign w:val="bottom"/>
          </w:tcPr>
          <w:p>
            <w:pPr>
              <w:ind w:left="20"/>
              <w:spacing w:after="0"/>
              <w:rPr>
                <w:sz w:val="20"/>
                <w:szCs w:val="20"/>
                <w:color w:val="auto"/>
              </w:rPr>
            </w:pPr>
            <w:r>
              <w:rPr>
                <w:rFonts w:ascii="Arial" w:cs="Arial" w:eastAsia="Arial" w:hAnsi="Arial"/>
                <w:sz w:val="16"/>
                <w:szCs w:val="16"/>
                <w:color w:val="auto"/>
              </w:rPr>
              <w:t>ASC</w:t>
            </w:r>
          </w:p>
        </w:tc>
        <w:tc>
          <w:tcPr>
            <w:tcW w:w="240" w:type="dxa"/>
            <w:vAlign w:val="bottom"/>
          </w:tcPr>
          <w:p>
            <w:pPr>
              <w:spacing w:after="0"/>
              <w:rPr>
                <w:sz w:val="21"/>
                <w:szCs w:val="21"/>
                <w:color w:val="auto"/>
              </w:rPr>
            </w:pPr>
          </w:p>
        </w:tc>
        <w:tc>
          <w:tcPr>
            <w:tcW w:w="134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53,096</w:t>
            </w:r>
          </w:p>
        </w:tc>
        <w:tc>
          <w:tcPr>
            <w:tcW w:w="640" w:type="dxa"/>
            <w:vAlign w:val="bottom"/>
          </w:tcPr>
          <w:p>
            <w:pPr>
              <w:spacing w:after="0"/>
              <w:rPr>
                <w:sz w:val="21"/>
                <w:szCs w:val="21"/>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b w:val="1"/>
                <w:bCs w:val="1"/>
                <w:color w:val="auto"/>
              </w:rPr>
              <w:t>53,096</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AEC</w:t>
            </w: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3,336</w:t>
            </w: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123,305</w:t>
            </w:r>
          </w:p>
        </w:tc>
        <w:tc>
          <w:tcPr>
            <w:tcW w:w="6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126,641</w:t>
            </w:r>
          </w:p>
        </w:tc>
        <w:tc>
          <w:tcPr>
            <w:tcW w:w="0" w:type="dxa"/>
            <w:vAlign w:val="bottom"/>
          </w:tcPr>
          <w:p>
            <w:pPr>
              <w:spacing w:after="0"/>
              <w:rPr>
                <w:sz w:val="1"/>
                <w:szCs w:val="1"/>
                <w:color w:val="auto"/>
              </w:rPr>
            </w:pPr>
          </w:p>
        </w:tc>
      </w:tr>
      <w:tr>
        <w:trPr>
          <w:trHeight w:val="223"/>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Albany Engineered Composites</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3,336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176,401</w:t>
            </w:r>
          </w:p>
        </w:tc>
        <w:tc>
          <w:tcPr>
            <w:tcW w:w="6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179,737</w:t>
            </w:r>
          </w:p>
        </w:tc>
        <w:tc>
          <w:tcPr>
            <w:tcW w:w="0" w:type="dxa"/>
            <w:vAlign w:val="bottom"/>
          </w:tcPr>
          <w:p>
            <w:pPr>
              <w:spacing w:after="0"/>
              <w:rPr>
                <w:sz w:val="1"/>
                <w:szCs w:val="1"/>
                <w:color w:val="auto"/>
              </w:rPr>
            </w:pPr>
          </w:p>
        </w:tc>
      </w:tr>
      <w:tr>
        <w:trPr>
          <w:trHeight w:val="196"/>
        </w:trPr>
        <w:tc>
          <w:tcPr>
            <w:tcW w:w="65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6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revenues</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172,086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177,453</w:t>
            </w:r>
          </w:p>
        </w:tc>
        <w:tc>
          <w:tcPr>
            <w:tcW w:w="6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349,539</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revenue for each product group by timing of revenue recognition for the three months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2025:</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3540" w:type="dxa"/>
            <w:vAlign w:val="bottom"/>
            <w:tcBorders>
              <w:top w:val="single" w:sz="8" w:color="auto"/>
              <w:bottom w:val="single" w:sz="8" w:color="auto"/>
            </w:tcBorders>
            <w:gridSpan w:val="4"/>
          </w:tcPr>
          <w:p>
            <w:pPr>
              <w:jc w:val="center"/>
              <w:ind w:left="642"/>
              <w:spacing w:after="0"/>
              <w:rPr>
                <w:sz w:val="20"/>
                <w:szCs w:val="20"/>
                <w:color w:val="auto"/>
              </w:rPr>
            </w:pPr>
            <w:r>
              <w:rPr>
                <w:rFonts w:ascii="Arial" w:cs="Arial" w:eastAsia="Arial" w:hAnsi="Arial"/>
                <w:sz w:val="14"/>
                <w:szCs w:val="14"/>
                <w:b w:val="1"/>
                <w:bCs w:val="1"/>
                <w:color w:val="auto"/>
              </w:rPr>
              <w:t>Three months ended September 30, 2025</w:t>
            </w:r>
          </w:p>
        </w:tc>
        <w:tc>
          <w:tcPr>
            <w:tcW w:w="960" w:type="dxa"/>
            <w:vAlign w:val="bottom"/>
            <w:tcBorders>
              <w:top w:val="single" w:sz="8" w:color="auto"/>
              <w:bottom w:val="single" w:sz="8" w:color="auto"/>
            </w:tcBorders>
          </w:tcPr>
          <w:p>
            <w:pPr>
              <w:spacing w:after="0"/>
              <w:rPr>
                <w:sz w:val="18"/>
                <w:szCs w:val="18"/>
                <w:color w:val="auto"/>
              </w:rPr>
            </w:pPr>
          </w:p>
        </w:tc>
      </w:tr>
      <w:tr>
        <w:trPr>
          <w:trHeight w:val="174"/>
        </w:trPr>
        <w:tc>
          <w:tcPr>
            <w:tcW w:w="6500" w:type="dxa"/>
            <w:vAlign w:val="bottom"/>
          </w:tcPr>
          <w:p>
            <w:pPr>
              <w:spacing w:after="0"/>
              <w:rPr>
                <w:sz w:val="15"/>
                <w:szCs w:val="15"/>
                <w:color w:val="auto"/>
              </w:rPr>
            </w:pPr>
          </w:p>
        </w:tc>
        <w:tc>
          <w:tcPr>
            <w:tcW w:w="1580" w:type="dxa"/>
            <w:vAlign w:val="bottom"/>
            <w:gridSpan w:val="2"/>
          </w:tcPr>
          <w:p>
            <w:pPr>
              <w:ind w:left="20"/>
              <w:spacing w:after="0"/>
              <w:rPr>
                <w:sz w:val="20"/>
                <w:szCs w:val="20"/>
                <w:color w:val="auto"/>
              </w:rPr>
            </w:pPr>
            <w:r>
              <w:rPr>
                <w:rFonts w:ascii="Arial" w:cs="Arial" w:eastAsia="Arial" w:hAnsi="Arial"/>
                <w:sz w:val="14"/>
                <w:szCs w:val="14"/>
                <w:b w:val="1"/>
                <w:bCs w:val="1"/>
                <w:color w:val="auto"/>
              </w:rPr>
              <w:t>Point in Time Revenue</w:t>
            </w:r>
          </w:p>
        </w:tc>
        <w:tc>
          <w:tcPr>
            <w:tcW w:w="120" w:type="dxa"/>
            <w:vAlign w:val="bottom"/>
          </w:tcPr>
          <w:p>
            <w:pPr>
              <w:spacing w:after="0"/>
              <w:rPr>
                <w:sz w:val="15"/>
                <w:szCs w:val="15"/>
                <w:color w:val="auto"/>
              </w:rPr>
            </w:pPr>
          </w:p>
        </w:tc>
        <w:tc>
          <w:tcPr>
            <w:tcW w:w="1440" w:type="dxa"/>
            <w:vAlign w:val="bottom"/>
          </w:tcPr>
          <w:p>
            <w:pPr>
              <w:jc w:val="center"/>
              <w:ind w:right="22"/>
              <w:spacing w:after="0"/>
              <w:rPr>
                <w:sz w:val="20"/>
                <w:szCs w:val="20"/>
                <w:color w:val="auto"/>
              </w:rPr>
            </w:pPr>
            <w:r>
              <w:rPr>
                <w:rFonts w:ascii="Arial" w:cs="Arial" w:eastAsia="Arial" w:hAnsi="Arial"/>
                <w:sz w:val="14"/>
                <w:szCs w:val="14"/>
                <w:b w:val="1"/>
                <w:bCs w:val="1"/>
                <w:color w:val="auto"/>
              </w:rPr>
              <w:t>Over Time Revenue</w:t>
            </w: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19"/>
        </w:trPr>
        <w:tc>
          <w:tcPr>
            <w:tcW w:w="6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Recognition</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rPr>
              <w:t>Recognition</w:t>
            </w:r>
          </w:p>
        </w:tc>
        <w:tc>
          <w:tcPr>
            <w:tcW w:w="6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w w:val="95"/>
              </w:rPr>
              <w:t>Total</w:t>
            </w:r>
          </w:p>
        </w:tc>
      </w:tr>
      <w:tr>
        <w:trPr>
          <w:trHeight w:val="215"/>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173,929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1,021</w:t>
            </w:r>
          </w:p>
        </w:tc>
        <w:tc>
          <w:tcPr>
            <w:tcW w:w="64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174,950</w:t>
            </w:r>
          </w:p>
        </w:tc>
      </w:tr>
      <w:tr>
        <w:trPr>
          <w:trHeight w:val="197"/>
        </w:trPr>
        <w:tc>
          <w:tcPr>
            <w:tcW w:w="6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Albany Engineered Composites: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42"/>
        </w:trPr>
        <w:tc>
          <w:tcPr>
            <w:tcW w:w="6500" w:type="dxa"/>
            <w:vAlign w:val="bottom"/>
          </w:tcPr>
          <w:p>
            <w:pPr>
              <w:ind w:left="20"/>
              <w:spacing w:after="0"/>
              <w:rPr>
                <w:sz w:val="20"/>
                <w:szCs w:val="20"/>
                <w:color w:val="auto"/>
              </w:rPr>
            </w:pPr>
            <w:r>
              <w:rPr>
                <w:rFonts w:ascii="Arial" w:cs="Arial" w:eastAsia="Arial" w:hAnsi="Arial"/>
                <w:sz w:val="16"/>
                <w:szCs w:val="16"/>
                <w:color w:val="auto"/>
              </w:rPr>
              <w:t>ASC</w:t>
            </w:r>
          </w:p>
        </w:tc>
        <w:tc>
          <w:tcPr>
            <w:tcW w:w="240" w:type="dxa"/>
            <w:vAlign w:val="bottom"/>
          </w:tcPr>
          <w:p>
            <w:pPr>
              <w:spacing w:after="0"/>
              <w:rPr>
                <w:sz w:val="21"/>
                <w:szCs w:val="21"/>
                <w:color w:val="auto"/>
              </w:rPr>
            </w:pP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44,873</w:t>
            </w:r>
          </w:p>
        </w:tc>
        <w:tc>
          <w:tcPr>
            <w:tcW w:w="640" w:type="dxa"/>
            <w:vAlign w:val="bottom"/>
          </w:tcPr>
          <w:p>
            <w:pPr>
              <w:spacing w:after="0"/>
              <w:rPr>
                <w:sz w:val="21"/>
                <w:szCs w:val="21"/>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44,873</w:t>
            </w:r>
          </w:p>
        </w:tc>
      </w:tr>
      <w:tr>
        <w:trPr>
          <w:trHeight w:val="217"/>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AEC</w:t>
            </w: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3,084</w:t>
            </w: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38,527</w:t>
            </w:r>
          </w:p>
        </w:tc>
        <w:tc>
          <w:tcPr>
            <w:tcW w:w="6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41,611</w:t>
            </w:r>
          </w:p>
        </w:tc>
      </w:tr>
      <w:tr>
        <w:trPr>
          <w:trHeight w:val="222"/>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Albany Engineered Composites</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3,084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83,400</w:t>
            </w:r>
          </w:p>
        </w:tc>
        <w:tc>
          <w:tcPr>
            <w:tcW w:w="6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86,484</w:t>
            </w:r>
          </w:p>
        </w:tc>
      </w:tr>
      <w:tr>
        <w:trPr>
          <w:trHeight w:val="197"/>
        </w:trPr>
        <w:tc>
          <w:tcPr>
            <w:tcW w:w="65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r>
      <w:tr>
        <w:trPr>
          <w:trHeight w:val="235"/>
        </w:trPr>
        <w:tc>
          <w:tcPr>
            <w:tcW w:w="6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revenues</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177,013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84,421</w:t>
            </w:r>
          </w:p>
        </w:tc>
        <w:tc>
          <w:tcPr>
            <w:tcW w:w="6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261,434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disaggregates MC segment revenue by significant product groupings (paper machine clothing ("PMC") and engineered fabrics); and for PMC, the geographical region to which the paper machine clothing was sold:</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3140" w:type="dxa"/>
            <w:vAlign w:val="bottom"/>
            <w:tcBorders>
              <w:top w:val="single" w:sz="8" w:color="auto"/>
              <w:bottom w:val="single" w:sz="8" w:color="auto"/>
            </w:tcBorders>
            <w:gridSpan w:val="5"/>
          </w:tcPr>
          <w:p>
            <w:pPr>
              <w:jc w:val="center"/>
              <w:ind w:left="301"/>
              <w:spacing w:after="0"/>
              <w:rPr>
                <w:sz w:val="20"/>
                <w:szCs w:val="20"/>
                <w:color w:val="auto"/>
              </w:rPr>
            </w:pPr>
            <w:r>
              <w:rPr>
                <w:rFonts w:ascii="Arial" w:cs="Arial" w:eastAsia="Arial" w:hAnsi="Arial"/>
                <w:sz w:val="14"/>
                <w:szCs w:val="14"/>
                <w:b w:val="1"/>
                <w:bCs w:val="1"/>
                <w:color w:val="auto"/>
              </w:rPr>
              <w:t>Nine months ended September 30, 2026</w:t>
            </w:r>
          </w:p>
        </w:tc>
        <w:tc>
          <w:tcPr>
            <w:tcW w:w="9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5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580" w:type="dxa"/>
            <w:vAlign w:val="bottom"/>
            <w:gridSpan w:val="3"/>
          </w:tcPr>
          <w:p>
            <w:pPr>
              <w:ind w:left="20"/>
              <w:spacing w:after="0" w:line="147" w:lineRule="exact"/>
              <w:rPr>
                <w:sz w:val="20"/>
                <w:szCs w:val="20"/>
                <w:color w:val="auto"/>
              </w:rPr>
            </w:pPr>
            <w:r>
              <w:rPr>
                <w:rFonts w:ascii="Arial" w:cs="Arial" w:eastAsia="Arial" w:hAnsi="Arial"/>
                <w:sz w:val="14"/>
                <w:szCs w:val="14"/>
                <w:b w:val="1"/>
                <w:bCs w:val="1"/>
                <w:color w:val="auto"/>
              </w:rPr>
              <w:t>Point in Time Revenue</w:t>
            </w:r>
          </w:p>
        </w:tc>
        <w:tc>
          <w:tcPr>
            <w:tcW w:w="120" w:type="dxa"/>
            <w:vAlign w:val="bottom"/>
          </w:tcPr>
          <w:p>
            <w:pPr>
              <w:spacing w:after="0"/>
              <w:rPr>
                <w:sz w:val="12"/>
                <w:szCs w:val="12"/>
                <w:color w:val="auto"/>
              </w:rPr>
            </w:pPr>
          </w:p>
        </w:tc>
        <w:tc>
          <w:tcPr>
            <w:tcW w:w="1460" w:type="dxa"/>
            <w:vAlign w:val="bottom"/>
            <w:gridSpan w:val="2"/>
          </w:tcPr>
          <w:p>
            <w:pPr>
              <w:jc w:val="center"/>
              <w:ind w:right="41"/>
              <w:spacing w:after="0" w:line="147" w:lineRule="exact"/>
              <w:rPr>
                <w:sz w:val="20"/>
                <w:szCs w:val="20"/>
                <w:color w:val="auto"/>
              </w:rPr>
            </w:pPr>
            <w:r>
              <w:rPr>
                <w:rFonts w:ascii="Arial" w:cs="Arial" w:eastAsia="Arial" w:hAnsi="Arial"/>
                <w:sz w:val="14"/>
                <w:szCs w:val="14"/>
                <w:b w:val="1"/>
                <w:bCs w:val="1"/>
                <w:color w:val="auto"/>
              </w:rPr>
              <w:t>Over Time Revenue</w:t>
            </w:r>
          </w:p>
        </w:tc>
        <w:tc>
          <w:tcPr>
            <w:tcW w:w="600" w:type="dxa"/>
            <w:vAlign w:val="bottom"/>
          </w:tcPr>
          <w:p>
            <w:pPr>
              <w:spacing w:after="0"/>
              <w:rPr>
                <w:sz w:val="12"/>
                <w:szCs w:val="12"/>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53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301"/>
              <w:spacing w:after="0"/>
              <w:rPr>
                <w:sz w:val="20"/>
                <w:szCs w:val="20"/>
                <w:color w:val="auto"/>
              </w:rPr>
            </w:pPr>
            <w:r>
              <w:rPr>
                <w:rFonts w:ascii="Arial" w:cs="Arial" w:eastAsia="Arial" w:hAnsi="Arial"/>
                <w:sz w:val="14"/>
                <w:szCs w:val="14"/>
                <w:b w:val="1"/>
                <w:bCs w:val="1"/>
                <w:color w:val="auto"/>
              </w:rPr>
              <w:t>Recognition</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41"/>
              <w:spacing w:after="0"/>
              <w:rPr>
                <w:sz w:val="20"/>
                <w:szCs w:val="20"/>
                <w:color w:val="auto"/>
              </w:rPr>
            </w:pPr>
            <w:r>
              <w:rPr>
                <w:rFonts w:ascii="Arial" w:cs="Arial" w:eastAsia="Arial" w:hAnsi="Arial"/>
                <w:sz w:val="14"/>
                <w:szCs w:val="14"/>
                <w:b w:val="1"/>
                <w:bCs w:val="1"/>
                <w:color w:val="auto"/>
              </w:rPr>
              <w:t>Recognition</w:t>
            </w:r>
          </w:p>
        </w:tc>
        <w:tc>
          <w:tcPr>
            <w:tcW w:w="6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1040"/>
              <w:spacing w:after="0"/>
              <w:rPr>
                <w:sz w:val="20"/>
                <w:szCs w:val="20"/>
                <w:color w:val="auto"/>
              </w:rPr>
            </w:pPr>
            <w:r>
              <w:rPr>
                <w:rFonts w:ascii="Arial" w:cs="Arial" w:eastAsia="Arial" w:hAnsi="Arial"/>
                <w:sz w:val="16"/>
                <w:szCs w:val="16"/>
                <w:b w:val="1"/>
                <w:bCs w:val="1"/>
                <w:color w:val="auto"/>
              </w:rPr>
              <w:t>$</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511,308</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3,156</w:t>
            </w:r>
          </w:p>
        </w:tc>
        <w:tc>
          <w:tcPr>
            <w:tcW w:w="600" w:type="dxa"/>
            <w:vAlign w:val="bottom"/>
            <w:shd w:val="clear" w:color="auto" w:fill="CCEEFF"/>
          </w:tcPr>
          <w:p>
            <w:pPr>
              <w:jc w:val="center"/>
              <w:ind w:right="399"/>
              <w:spacing w:after="0"/>
              <w:rPr>
                <w:sz w:val="20"/>
                <w:szCs w:val="20"/>
                <w:color w:val="auto"/>
              </w:rPr>
            </w:pPr>
            <w:r>
              <w:rPr>
                <w:rFonts w:ascii="Arial" w:cs="Arial" w:eastAsia="Arial" w:hAnsi="Arial"/>
                <w:sz w:val="16"/>
                <w:szCs w:val="16"/>
                <w:b w:val="1"/>
                <w:bCs w:val="1"/>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514,464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Albany Engineered Composites: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300" w:type="dxa"/>
            <w:vAlign w:val="bottom"/>
          </w:tcPr>
          <w:p>
            <w:pPr>
              <w:ind w:left="20"/>
              <w:spacing w:after="0"/>
              <w:rPr>
                <w:sz w:val="20"/>
                <w:szCs w:val="20"/>
                <w:color w:val="auto"/>
              </w:rPr>
            </w:pPr>
            <w:r>
              <w:rPr>
                <w:rFonts w:ascii="Arial" w:cs="Arial" w:eastAsia="Arial" w:hAnsi="Arial"/>
                <w:sz w:val="16"/>
                <w:szCs w:val="16"/>
                <w:color w:val="auto"/>
              </w:rPr>
              <w:t>ASC</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b w:val="1"/>
                <w:bCs w:val="1"/>
                <w:color w:val="auto"/>
              </w:rPr>
              <w:t>152,454</w:t>
            </w:r>
          </w:p>
        </w:tc>
        <w:tc>
          <w:tcPr>
            <w:tcW w:w="6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152,454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AEC</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10,380</w:t>
            </w: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313,056</w:t>
            </w:r>
          </w:p>
        </w:tc>
        <w:tc>
          <w:tcPr>
            <w:tcW w:w="6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323,436</w:t>
            </w:r>
          </w:p>
        </w:tc>
        <w:tc>
          <w:tcPr>
            <w:tcW w:w="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20"/>
              <w:spacing w:after="0"/>
              <w:rPr>
                <w:sz w:val="20"/>
                <w:szCs w:val="20"/>
                <w:color w:val="auto"/>
              </w:rPr>
            </w:pPr>
            <w:r>
              <w:rPr>
                <w:rFonts w:ascii="Arial" w:cs="Arial" w:eastAsia="Arial" w:hAnsi="Arial"/>
                <w:sz w:val="16"/>
                <w:szCs w:val="16"/>
                <w:color w:val="auto"/>
              </w:rPr>
              <w:t>Total Albany Engineered Composites</w:t>
            </w:r>
          </w:p>
        </w:tc>
        <w:tc>
          <w:tcPr>
            <w:tcW w:w="180" w:type="dxa"/>
            <w:vAlign w:val="bottom"/>
          </w:tcPr>
          <w:p>
            <w:pPr>
              <w:spacing w:after="0"/>
              <w:rPr>
                <w:sz w:val="19"/>
                <w:szCs w:val="19"/>
                <w:color w:val="auto"/>
              </w:rPr>
            </w:pPr>
          </w:p>
        </w:tc>
        <w:tc>
          <w:tcPr>
            <w:tcW w:w="1260" w:type="dxa"/>
            <w:vAlign w:val="bottom"/>
            <w:gridSpan w:val="2"/>
          </w:tcPr>
          <w:p>
            <w:pPr>
              <w:ind w:left="104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b w:val="1"/>
                <w:bCs w:val="1"/>
                <w:color w:val="auto"/>
              </w:rPr>
              <w:t>10,380</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200" w:type="dxa"/>
            <w:vAlign w:val="bottom"/>
          </w:tcPr>
          <w:p>
            <w:pPr>
              <w:spacing w:after="0"/>
              <w:rPr>
                <w:sz w:val="19"/>
                <w:szCs w:val="19"/>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b w:val="1"/>
                <w:bCs w:val="1"/>
                <w:color w:val="auto"/>
              </w:rPr>
              <w:t>465,510</w:t>
            </w:r>
          </w:p>
        </w:tc>
        <w:tc>
          <w:tcPr>
            <w:tcW w:w="600" w:type="dxa"/>
            <w:vAlign w:val="bottom"/>
          </w:tcPr>
          <w:p>
            <w:pPr>
              <w:jc w:val="center"/>
              <w:ind w:right="39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475,890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300" w:type="dxa"/>
            <w:vAlign w:val="bottom"/>
            <w:tcBorders>
              <w:top w:val="single" w:sz="8" w:color="CCEEFF"/>
              <w:bottom w:val="single" w:sz="8" w:color="auto"/>
            </w:tcBorders>
            <w:shd w:val="clear" w:color="auto" w:fill="CCEEFF"/>
          </w:tcPr>
          <w:p>
            <w:pPr>
              <w:spacing w:after="0"/>
              <w:rPr>
                <w:sz w:val="17"/>
                <w:szCs w:val="17"/>
                <w:color w:val="auto"/>
              </w:rPr>
            </w:pPr>
          </w:p>
        </w:tc>
        <w:tc>
          <w:tcPr>
            <w:tcW w:w="180" w:type="dxa"/>
            <w:vAlign w:val="bottom"/>
            <w:tcBorders>
              <w:top w:val="single" w:sz="8" w:color="CCEEFF"/>
              <w:bottom w:val="single" w:sz="8" w:color="auto"/>
            </w:tcBorders>
            <w:shd w:val="clear" w:color="auto" w:fill="CCEEFF"/>
          </w:tcPr>
          <w:p>
            <w:pPr>
              <w:spacing w:after="0"/>
              <w:rPr>
                <w:sz w:val="17"/>
                <w:szCs w:val="17"/>
                <w:color w:val="auto"/>
              </w:rPr>
            </w:pPr>
          </w:p>
        </w:tc>
        <w:tc>
          <w:tcPr>
            <w:tcW w:w="1020" w:type="dxa"/>
            <w:vAlign w:val="bottom"/>
            <w:tcBorders>
              <w:top w:val="single" w:sz="8" w:color="CCEEFF"/>
              <w:bottom w:val="single" w:sz="8" w:color="auto"/>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revenues</w:t>
            </w: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ind w:left="1040"/>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521,688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468,666</w:t>
            </w:r>
          </w:p>
        </w:tc>
        <w:tc>
          <w:tcPr>
            <w:tcW w:w="600" w:type="dxa"/>
            <w:vAlign w:val="bottom"/>
            <w:tcBorders>
              <w:bottom w:val="single" w:sz="8" w:color="auto"/>
            </w:tcBorders>
          </w:tcPr>
          <w:p>
            <w:pPr>
              <w:jc w:val="center"/>
              <w:ind w:right="39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990,354</w:t>
            </w: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5"/>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5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5"/>
          </w:tcPr>
          <w:p>
            <w:pPr>
              <w:jc w:val="center"/>
              <w:ind w:left="301"/>
              <w:spacing w:after="0"/>
              <w:rPr>
                <w:sz w:val="20"/>
                <w:szCs w:val="20"/>
                <w:color w:val="auto"/>
              </w:rPr>
            </w:pPr>
            <w:r>
              <w:rPr>
                <w:rFonts w:ascii="Arial" w:cs="Arial" w:eastAsia="Arial" w:hAnsi="Arial"/>
                <w:sz w:val="14"/>
                <w:szCs w:val="14"/>
                <w:b w:val="1"/>
                <w:bCs w:val="1"/>
                <w:color w:val="auto"/>
              </w:rPr>
              <w:t>Nine months ended September 30, 2025</w:t>
            </w:r>
          </w:p>
        </w:tc>
        <w:tc>
          <w:tcPr>
            <w:tcW w:w="9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5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80" w:type="dxa"/>
            <w:vAlign w:val="bottom"/>
            <w:gridSpan w:val="3"/>
          </w:tcPr>
          <w:p>
            <w:pPr>
              <w:ind w:left="20"/>
              <w:spacing w:after="0"/>
              <w:rPr>
                <w:sz w:val="20"/>
                <w:szCs w:val="20"/>
                <w:color w:val="auto"/>
              </w:rPr>
            </w:pPr>
            <w:r>
              <w:rPr>
                <w:rFonts w:ascii="Arial" w:cs="Arial" w:eastAsia="Arial" w:hAnsi="Arial"/>
                <w:sz w:val="14"/>
                <w:szCs w:val="14"/>
                <w:b w:val="1"/>
                <w:bCs w:val="1"/>
                <w:color w:val="auto"/>
              </w:rPr>
              <w:t>Point in Time Revenue</w:t>
            </w:r>
          </w:p>
        </w:tc>
        <w:tc>
          <w:tcPr>
            <w:tcW w:w="120" w:type="dxa"/>
            <w:vAlign w:val="bottom"/>
          </w:tcPr>
          <w:p>
            <w:pPr>
              <w:spacing w:after="0"/>
              <w:rPr>
                <w:sz w:val="15"/>
                <w:szCs w:val="15"/>
                <w:color w:val="auto"/>
              </w:rPr>
            </w:pPr>
          </w:p>
        </w:tc>
        <w:tc>
          <w:tcPr>
            <w:tcW w:w="1460" w:type="dxa"/>
            <w:vAlign w:val="bottom"/>
            <w:gridSpan w:val="2"/>
          </w:tcPr>
          <w:p>
            <w:pPr>
              <w:jc w:val="center"/>
              <w:ind w:right="41"/>
              <w:spacing w:after="0"/>
              <w:rPr>
                <w:sz w:val="20"/>
                <w:szCs w:val="20"/>
                <w:color w:val="auto"/>
              </w:rPr>
            </w:pPr>
            <w:r>
              <w:rPr>
                <w:rFonts w:ascii="Arial" w:cs="Arial" w:eastAsia="Arial" w:hAnsi="Arial"/>
                <w:sz w:val="14"/>
                <w:szCs w:val="14"/>
                <w:b w:val="1"/>
                <w:bCs w:val="1"/>
                <w:color w:val="auto"/>
              </w:rPr>
              <w:t>Over Time Revenue</w:t>
            </w: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301"/>
              <w:spacing w:after="0"/>
              <w:rPr>
                <w:sz w:val="20"/>
                <w:szCs w:val="20"/>
                <w:color w:val="auto"/>
              </w:rPr>
            </w:pPr>
            <w:r>
              <w:rPr>
                <w:rFonts w:ascii="Arial" w:cs="Arial" w:eastAsia="Arial" w:hAnsi="Arial"/>
                <w:sz w:val="14"/>
                <w:szCs w:val="14"/>
                <w:b w:val="1"/>
                <w:bCs w:val="1"/>
                <w:color w:val="auto"/>
              </w:rPr>
              <w:t>Recognition</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241"/>
              <w:spacing w:after="0"/>
              <w:rPr>
                <w:sz w:val="20"/>
                <w:szCs w:val="20"/>
                <w:color w:val="auto"/>
              </w:rPr>
            </w:pPr>
            <w:r>
              <w:rPr>
                <w:rFonts w:ascii="Arial" w:cs="Arial" w:eastAsia="Arial" w:hAnsi="Arial"/>
                <w:sz w:val="14"/>
                <w:szCs w:val="14"/>
                <w:b w:val="1"/>
                <w:bCs w:val="1"/>
                <w:color w:val="auto"/>
              </w:rPr>
              <w:t>Recognition</w:t>
            </w: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5"/>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527,509</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3,064</w:t>
            </w:r>
          </w:p>
        </w:tc>
        <w:tc>
          <w:tcPr>
            <w:tcW w:w="600" w:type="dxa"/>
            <w:vAlign w:val="bottom"/>
            <w:shd w:val="clear" w:color="auto" w:fill="CCEEFF"/>
          </w:tcPr>
          <w:p>
            <w:pPr>
              <w:jc w:val="center"/>
              <w:ind w:right="3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530,573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5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Albany Engineered Composites: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300" w:type="dxa"/>
            <w:vAlign w:val="bottom"/>
          </w:tcPr>
          <w:p>
            <w:pPr>
              <w:ind w:left="20"/>
              <w:spacing w:after="0"/>
              <w:rPr>
                <w:sz w:val="20"/>
                <w:szCs w:val="20"/>
                <w:color w:val="auto"/>
              </w:rPr>
            </w:pPr>
            <w:r>
              <w:rPr>
                <w:rFonts w:ascii="Arial" w:cs="Arial" w:eastAsia="Arial" w:hAnsi="Arial"/>
                <w:sz w:val="16"/>
                <w:szCs w:val="16"/>
                <w:color w:val="auto"/>
              </w:rPr>
              <w:t>ASC</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128,639</w:t>
            </w:r>
          </w:p>
        </w:tc>
        <w:tc>
          <w:tcPr>
            <w:tcW w:w="6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128,639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AEC</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10,221</w:t>
            </w: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192,174</w:t>
            </w:r>
          </w:p>
        </w:tc>
        <w:tc>
          <w:tcPr>
            <w:tcW w:w="6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202,395</w:t>
            </w:r>
          </w:p>
        </w:tc>
        <w:tc>
          <w:tcPr>
            <w:tcW w:w="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00" w:type="dxa"/>
            <w:vAlign w:val="bottom"/>
          </w:tcPr>
          <w:p>
            <w:pPr>
              <w:ind w:left="20"/>
              <w:spacing w:after="0"/>
              <w:rPr>
                <w:sz w:val="20"/>
                <w:szCs w:val="20"/>
                <w:color w:val="auto"/>
              </w:rPr>
            </w:pPr>
            <w:r>
              <w:rPr>
                <w:rFonts w:ascii="Arial" w:cs="Arial" w:eastAsia="Arial" w:hAnsi="Arial"/>
                <w:sz w:val="16"/>
                <w:szCs w:val="16"/>
                <w:color w:val="auto"/>
              </w:rPr>
              <w:t>Total Albany Engineered Composites</w:t>
            </w:r>
          </w:p>
        </w:tc>
        <w:tc>
          <w:tcPr>
            <w:tcW w:w="180" w:type="dxa"/>
            <w:vAlign w:val="bottom"/>
          </w:tcPr>
          <w:p>
            <w:pPr>
              <w:spacing w:after="0"/>
              <w:rPr>
                <w:sz w:val="19"/>
                <w:szCs w:val="19"/>
                <w:color w:val="auto"/>
              </w:rPr>
            </w:pPr>
          </w:p>
        </w:tc>
        <w:tc>
          <w:tcPr>
            <w:tcW w:w="1260" w:type="dxa"/>
            <w:vAlign w:val="bottom"/>
            <w:gridSpan w:val="2"/>
          </w:tcPr>
          <w:p>
            <w:pPr>
              <w:ind w:left="10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10,221</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00" w:type="dxa"/>
            <w:vAlign w:val="bottom"/>
          </w:tcPr>
          <w:p>
            <w:pPr>
              <w:spacing w:after="0"/>
              <w:rPr>
                <w:sz w:val="19"/>
                <w:szCs w:val="19"/>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320,813</w:t>
            </w:r>
          </w:p>
        </w:tc>
        <w:tc>
          <w:tcPr>
            <w:tcW w:w="600" w:type="dxa"/>
            <w:vAlign w:val="bottom"/>
          </w:tcPr>
          <w:p>
            <w:pPr>
              <w:jc w:val="center"/>
              <w:ind w:right="3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331,034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5300" w:type="dxa"/>
            <w:vAlign w:val="bottom"/>
            <w:tcBorders>
              <w:top w:val="single" w:sz="8" w:color="CCEEFF"/>
              <w:bottom w:val="single" w:sz="8" w:color="auto"/>
            </w:tcBorders>
            <w:shd w:val="clear" w:color="auto" w:fill="CCEEFF"/>
          </w:tcPr>
          <w:p>
            <w:pPr>
              <w:spacing w:after="0"/>
              <w:rPr>
                <w:sz w:val="17"/>
                <w:szCs w:val="17"/>
                <w:color w:val="auto"/>
              </w:rPr>
            </w:pPr>
          </w:p>
        </w:tc>
        <w:tc>
          <w:tcPr>
            <w:tcW w:w="180" w:type="dxa"/>
            <w:vAlign w:val="bottom"/>
            <w:tcBorders>
              <w:top w:val="single" w:sz="8" w:color="CCEEFF"/>
              <w:bottom w:val="single" w:sz="8" w:color="auto"/>
            </w:tcBorders>
            <w:shd w:val="clear" w:color="auto" w:fill="CCEEFF"/>
          </w:tcPr>
          <w:p>
            <w:pPr>
              <w:spacing w:after="0"/>
              <w:rPr>
                <w:sz w:val="17"/>
                <w:szCs w:val="17"/>
                <w:color w:val="auto"/>
              </w:rPr>
            </w:pPr>
          </w:p>
        </w:tc>
        <w:tc>
          <w:tcPr>
            <w:tcW w:w="1020" w:type="dxa"/>
            <w:vAlign w:val="bottom"/>
            <w:tcBorders>
              <w:top w:val="single" w:sz="8" w:color="CCEEFF"/>
              <w:bottom w:val="single" w:sz="8" w:color="auto"/>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300" w:type="dxa"/>
            <w:vAlign w:val="bottom"/>
          </w:tcPr>
          <w:p>
            <w:pPr>
              <w:ind w:left="20"/>
              <w:spacing w:after="0"/>
              <w:rPr>
                <w:sz w:val="20"/>
                <w:szCs w:val="20"/>
                <w:color w:val="auto"/>
              </w:rPr>
            </w:pPr>
            <w:r>
              <w:rPr>
                <w:rFonts w:ascii="Arial" w:cs="Arial" w:eastAsia="Arial" w:hAnsi="Arial"/>
                <w:sz w:val="16"/>
                <w:szCs w:val="16"/>
                <w:color w:val="auto"/>
              </w:rPr>
              <w:t>Total revenues</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537,730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323,877</w:t>
            </w:r>
          </w:p>
        </w:tc>
        <w:tc>
          <w:tcPr>
            <w:tcW w:w="600" w:type="dxa"/>
            <w:vAlign w:val="bottom"/>
            <w:tcBorders>
              <w:bottom w:val="single" w:sz="8" w:color="auto"/>
            </w:tcBorders>
          </w:tcPr>
          <w:p>
            <w:pPr>
              <w:jc w:val="center"/>
              <w:ind w:right="3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861,607</w:t>
            </w: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1"/>
        </w:trPr>
        <w:tc>
          <w:tcPr>
            <w:tcW w:w="5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3"/>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0" w:type="dxa"/>
            <w:vAlign w:val="bottom"/>
            <w:gridSpan w:val="4"/>
          </w:tcPr>
          <w:p>
            <w:pPr>
              <w:jc w:val="right"/>
              <w:ind w:right="1"/>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10"/>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2026</w:t>
            </w:r>
          </w:p>
        </w:tc>
        <w:tc>
          <w:tcPr>
            <w:tcW w:w="24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2026</w:t>
            </w:r>
          </w:p>
        </w:tc>
        <w:tc>
          <w:tcPr>
            <w:tcW w:w="6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2025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Americas PMC</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83,199</w:t>
            </w:r>
          </w:p>
        </w:tc>
        <w:tc>
          <w:tcPr>
            <w:tcW w:w="380" w:type="dxa"/>
            <w:vAlign w:val="bottom"/>
            <w:shd w:val="clear" w:color="auto" w:fill="CCEEFF"/>
          </w:tcPr>
          <w:p>
            <w:pPr>
              <w:jc w:val="right"/>
              <w:ind w:right="164"/>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92,171</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242,043</w:t>
            </w:r>
          </w:p>
        </w:tc>
        <w:tc>
          <w:tcPr>
            <w:tcW w:w="6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262,505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300" w:type="dxa"/>
            <w:vAlign w:val="bottom"/>
          </w:tcPr>
          <w:p>
            <w:pPr>
              <w:ind w:left="20"/>
              <w:spacing w:after="0"/>
              <w:rPr>
                <w:sz w:val="20"/>
                <w:szCs w:val="20"/>
                <w:color w:val="auto"/>
              </w:rPr>
            </w:pPr>
            <w:r>
              <w:rPr>
                <w:rFonts w:ascii="Arial" w:cs="Arial" w:eastAsia="Arial" w:hAnsi="Arial"/>
                <w:sz w:val="16"/>
                <w:szCs w:val="16"/>
                <w:color w:val="auto"/>
              </w:rPr>
              <w:t>Eurasia PMC</w:t>
            </w:r>
          </w:p>
        </w:tc>
        <w:tc>
          <w:tcPr>
            <w:tcW w:w="18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b w:val="1"/>
                <w:bCs w:val="1"/>
                <w:color w:val="auto"/>
              </w:rPr>
              <w:t>68,510</w:t>
            </w:r>
          </w:p>
        </w:tc>
        <w:tc>
          <w:tcPr>
            <w:tcW w:w="38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67,128</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215,560</w:t>
            </w:r>
          </w:p>
        </w:tc>
        <w:tc>
          <w:tcPr>
            <w:tcW w:w="6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206,486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Engineered Fabrics</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18,093</w:t>
            </w:r>
          </w:p>
        </w:tc>
        <w:tc>
          <w:tcPr>
            <w:tcW w:w="3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15,651</w:t>
            </w: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56,861</w:t>
            </w:r>
          </w:p>
        </w:tc>
        <w:tc>
          <w:tcPr>
            <w:tcW w:w="6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61,582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Machine Clothing Net revenues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169,802</w:t>
            </w:r>
          </w:p>
        </w:tc>
        <w:tc>
          <w:tcPr>
            <w:tcW w:w="380" w:type="dxa"/>
            <w:vAlign w:val="bottom"/>
            <w:tcBorders>
              <w:bottom w:val="single" w:sz="8" w:color="auto"/>
            </w:tcBorders>
          </w:tcPr>
          <w:p>
            <w:pPr>
              <w:jc w:val="right"/>
              <w:ind w:right="164"/>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174,950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514,464</w:t>
            </w:r>
          </w:p>
        </w:tc>
        <w:tc>
          <w:tcPr>
            <w:tcW w:w="6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530,573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do not disclose the value of unsatisfied performance obligations for contracts with an original expected duration of one year or less. Contracts in the MC segment are generally for periods of less than a year and certain contracts in the AEC segment are relatively short duration firm-fixed-price orders. Remaining performance obligations on contracts that had an original duration of greater than one year totaled $877.4 million and $1.1 billion as of September 30, 2026 and 2025 related primarily to firm fixed price contracts in the AEC segment. Of the remaining performance obligations as of September 30, 2026, we expect to recognize as revenue approximately $64.3 million during 2026, $196.3 million during 2027, $176.9 million during 2028, and the remainder thereafter.</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 Pensions and Other Postretirement Benefit Plans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has defined benefit pension plans covering certain U.S. and non-U.S. employees. The Company also provides certain postretirement benefits to retired employees in the U.S. and Canada. The Company accrues the cost of providing these benefits during the active service period of the employees.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the net periodic benefit cost/(income) for the nine months ended September 30, 2026 and 2025, was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0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Pension plans</w:t>
            </w:r>
          </w:p>
        </w:tc>
        <w:tc>
          <w:tcPr>
            <w:tcW w:w="8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420" w:type="dxa"/>
            <w:vAlign w:val="bottom"/>
            <w:tcBorders>
              <w:top w:val="single" w:sz="8" w:color="auto"/>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Other postretirement benefits</w:t>
            </w:r>
          </w:p>
        </w:tc>
      </w:tr>
      <w:tr>
        <w:trPr>
          <w:trHeight w:val="211"/>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2026</w:t>
            </w:r>
          </w:p>
        </w:tc>
        <w:tc>
          <w:tcPr>
            <w:tcW w:w="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w w:val="96"/>
              </w:rPr>
              <w:t>2025</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2026</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2025</w:t>
            </w:r>
          </w:p>
        </w:tc>
      </w:tr>
      <w:tr>
        <w:trPr>
          <w:trHeight w:val="211"/>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Components of net periodic benefit cost/(income):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43"/>
        </w:trPr>
        <w:tc>
          <w:tcPr>
            <w:tcW w:w="600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711</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836</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28</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6"/>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cost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4,570</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4,505</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995</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1,060</w:t>
            </w:r>
          </w:p>
        </w:tc>
      </w:tr>
      <w:tr>
        <w:trPr>
          <w:trHeight w:val="243"/>
        </w:trPr>
        <w:tc>
          <w:tcPr>
            <w:tcW w:w="6000" w:type="dxa"/>
            <w:vAlign w:val="bottom"/>
          </w:tcPr>
          <w:p>
            <w:pPr>
              <w:ind w:left="20"/>
              <w:spacing w:after="0"/>
              <w:rPr>
                <w:sz w:val="20"/>
                <w:szCs w:val="20"/>
                <w:color w:val="auto"/>
              </w:rPr>
            </w:pPr>
            <w:r>
              <w:rPr>
                <w:rFonts w:ascii="Arial" w:cs="Arial" w:eastAsia="Arial" w:hAnsi="Arial"/>
                <w:sz w:val="16"/>
                <w:szCs w:val="16"/>
                <w:color w:val="auto"/>
              </w:rPr>
              <w:t>Expected return on assets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(2,109)</w:t>
            </w:r>
          </w:p>
        </w:tc>
        <w:tc>
          <w:tcPr>
            <w:tcW w:w="5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(3,427)</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Curtailment cost/(income)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(3,770)</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000" w:type="dxa"/>
            <w:vAlign w:val="bottom"/>
          </w:tcPr>
          <w:p>
            <w:pPr>
              <w:ind w:left="20"/>
              <w:spacing w:after="0"/>
              <w:rPr>
                <w:sz w:val="20"/>
                <w:szCs w:val="20"/>
                <w:color w:val="auto"/>
              </w:rPr>
            </w:pPr>
            <w:r>
              <w:rPr>
                <w:rFonts w:ascii="Arial" w:cs="Arial" w:eastAsia="Arial" w:hAnsi="Arial"/>
                <w:sz w:val="16"/>
                <w:szCs w:val="16"/>
                <w:color w:val="auto"/>
              </w:rPr>
              <w:t>Settlement cost/(income)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2,170</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prior service cost/(income)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(92)</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r>
      <w:tr>
        <w:trPr>
          <w:trHeight w:val="243"/>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Amortization of net actuarial loss</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1,088</w:t>
            </w:r>
          </w:p>
        </w:tc>
        <w:tc>
          <w:tcPr>
            <w:tcW w:w="5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932</w:t>
            </w: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r>
      <w:tr>
        <w:trPr>
          <w:trHeight w:val="210"/>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periodic benefit cost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4,235</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1,226</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943</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974</w:t>
            </w:r>
          </w:p>
        </w:tc>
      </w:tr>
    </w:tbl>
    <w:p>
      <w:pPr>
        <w:spacing w:after="0" w:line="18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amount of net periodic benefit cost/(credit) is determined at the beginning of each year and generally only varies from quarter to quarter when a significant event occurs, such as a curtailment or a settlement. There were no material curtailments or settlements during the nine months ended September 30, 2026. In the first nine months of 2025, we took action to settle certain pension plan liabilities related to an MC pension plan in Switzerland, resulting in a net gain totaling $1.6 million.</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Service cost for defined benefit pension and postretirement plans is reported in the same line item as other compensation costs arising from services rendered by the pertinent employees during the period. Other components of net periodic benefit cost are included in the line item Other (income)/expense, net in the Consolidated Statements of Income.</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Restructuring</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MC, restructuring actions were taken in 2026 and 2025 to consolidate production activities across multiple facilities. For the three and nine months ended September 30, 2026, Restructuring expenses, net were related to transfers of fixed assets to other locations including overseas, workforce reductions, and manufacturing expenses related to ceased production. For the three months ended September 30, 2025, these actions were related to workforce reductions of $2.0 million. For the nine months ended September 30, 2025, restructuring charges were related to workforce reductions, fixed asset impairments and related costs and inventory write-off costs of $8.1 million offset by a $1.8 million pension curtailment gain.</w:t>
      </w:r>
    </w:p>
    <w:p>
      <w:pPr>
        <w:spacing w:after="0" w:line="7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At AEC, restructuring activities in the prior year were related to reorganizational and workforce reduction costs, which resulted in Restructuring expenses, net of $0.1 million and $ 1.8 million for the three and nine months ended September 30, 2025, respectively. AEC did not incur any restructuring costs for the three and nine months ended September 30, 2026.</w:t>
      </w:r>
    </w:p>
    <w:p>
      <w:pPr>
        <w:spacing w:after="0" w:line="6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At Corporate, for the three and nine months ended September 30, 2026, Restructuring expenses, net were primarily related to workforce reductions and legal structure optimization.</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summarizes charges reported in the Consolidated Statements of Income under "Restructuring expenses, net" and "Cost of goods sold":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9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860" w:type="dxa"/>
            <w:vAlign w:val="bottom"/>
            <w:tcBorders>
              <w:top w:val="single" w:sz="8" w:color="auto"/>
              <w:bottom w:val="single" w:sz="8" w:color="auto"/>
            </w:tcBorders>
            <w:gridSpan w:val="3"/>
          </w:tcPr>
          <w:p>
            <w:pPr>
              <w:jc w:val="right"/>
              <w:ind w:right="221"/>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Borders>
              <w:top w:val="single" w:sz="8" w:color="auto"/>
              <w:bottom w:val="single" w:sz="8" w:color="auto"/>
            </w:tcBorders>
          </w:tcPr>
          <w:p>
            <w:pPr>
              <w:spacing w:after="0"/>
              <w:rPr>
                <w:sz w:val="18"/>
                <w:szCs w:val="18"/>
                <w:color w:val="auto"/>
              </w:rPr>
            </w:pPr>
          </w:p>
        </w:tc>
        <w:tc>
          <w:tcPr>
            <w:tcW w:w="2860" w:type="dxa"/>
            <w:vAlign w:val="bottom"/>
            <w:tcBorders>
              <w:top w:val="single" w:sz="8" w:color="auto"/>
              <w:bottom w:val="single" w:sz="8" w:color="auto"/>
            </w:tcBorders>
            <w:gridSpan w:val="3"/>
          </w:tcPr>
          <w:p>
            <w:pPr>
              <w:jc w:val="right"/>
              <w:ind w:right="281"/>
              <w:spacing w:after="0"/>
              <w:rPr>
                <w:sz w:val="20"/>
                <w:szCs w:val="20"/>
                <w:color w:val="auto"/>
              </w:rPr>
            </w:pPr>
            <w:r>
              <w:rPr>
                <w:rFonts w:ascii="Arial" w:cs="Arial" w:eastAsia="Arial" w:hAnsi="Arial"/>
                <w:sz w:val="14"/>
                <w:szCs w:val="14"/>
                <w:b w:val="1"/>
                <w:bCs w:val="1"/>
                <w:color w:val="auto"/>
              </w:rPr>
              <w:t>Nine months ended September 30,</w:t>
            </w:r>
          </w:p>
        </w:tc>
      </w:tr>
      <w:tr>
        <w:trPr>
          <w:trHeight w:val="197"/>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2026</w:t>
            </w: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2026</w:t>
            </w:r>
          </w:p>
        </w:tc>
        <w:tc>
          <w:tcPr>
            <w:tcW w:w="4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2025</w:t>
            </w:r>
          </w:p>
        </w:tc>
      </w:tr>
      <w:tr>
        <w:trPr>
          <w:trHeight w:val="210"/>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6,827</w:t>
            </w:r>
          </w:p>
        </w:tc>
        <w:tc>
          <w:tcPr>
            <w:tcW w:w="38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1,960</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15,892</w:t>
            </w:r>
          </w:p>
        </w:tc>
        <w:tc>
          <w:tcPr>
            <w:tcW w:w="40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6,578</w:t>
            </w:r>
          </w:p>
        </w:tc>
      </w:tr>
      <w:tr>
        <w:trPr>
          <w:trHeight w:val="216"/>
        </w:trPr>
        <w:tc>
          <w:tcPr>
            <w:tcW w:w="490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113</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1,801</w:t>
            </w:r>
          </w:p>
        </w:tc>
      </w:tr>
      <w:tr>
        <w:trPr>
          <w:trHeight w:val="216"/>
        </w:trPr>
        <w:tc>
          <w:tcPr>
            <w:tcW w:w="4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Corporate</w:t>
            </w: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466</w:t>
            </w: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1,124</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2,539</w:t>
            </w:r>
          </w:p>
        </w:tc>
        <w:tc>
          <w:tcPr>
            <w:tcW w:w="4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1,772</w:t>
            </w:r>
          </w:p>
        </w:tc>
      </w:tr>
      <w:tr>
        <w:trPr>
          <w:trHeight w:val="209"/>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7,293</w:t>
            </w:r>
          </w:p>
        </w:tc>
        <w:tc>
          <w:tcPr>
            <w:tcW w:w="3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3,197</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18,431</w:t>
            </w:r>
          </w:p>
        </w:tc>
        <w:tc>
          <w:tcPr>
            <w:tcW w:w="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10,151</w:t>
            </w:r>
          </w:p>
        </w:tc>
      </w:tr>
    </w:tbl>
    <w:p>
      <w:pPr>
        <w:spacing w:after="0" w:line="170"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The following tables summarize charges by type of expense reported in the Consolidated Statements of Income under "Restructuring expenses, net" and "Cost of goods sold":</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Borders>
              <w:top w:val="single" w:sz="8" w:color="auto"/>
            </w:tcBorders>
          </w:tcPr>
          <w:p>
            <w:pPr>
              <w:spacing w:after="0"/>
              <w:rPr>
                <w:sz w:val="14"/>
                <w:szCs w:val="14"/>
                <w:color w:val="auto"/>
              </w:rPr>
            </w:pPr>
          </w:p>
        </w:tc>
        <w:tc>
          <w:tcPr>
            <w:tcW w:w="3220" w:type="dxa"/>
            <w:vAlign w:val="bottom"/>
            <w:tcBorders>
              <w:top w:val="single" w:sz="8" w:color="auto"/>
            </w:tcBorders>
          </w:tcPr>
          <w:p>
            <w:pPr>
              <w:jc w:val="center"/>
              <w:ind w:left="1328"/>
              <w:spacing w:after="0"/>
              <w:rPr>
                <w:sz w:val="20"/>
                <w:szCs w:val="20"/>
                <w:color w:val="auto"/>
              </w:rPr>
            </w:pPr>
            <w:r>
              <w:rPr>
                <w:rFonts w:ascii="Arial" w:cs="Arial" w:eastAsia="Arial" w:hAnsi="Arial"/>
                <w:sz w:val="14"/>
                <w:szCs w:val="14"/>
                <w:b w:val="1"/>
                <w:bCs w:val="1"/>
                <w:color w:val="auto"/>
              </w:rPr>
              <w:t>Total</w:t>
            </w:r>
          </w:p>
        </w:tc>
        <w:tc>
          <w:tcPr>
            <w:tcW w:w="1520" w:type="dxa"/>
            <w:vAlign w:val="bottom"/>
            <w:tcBorders>
              <w:top w:val="single" w:sz="8" w:color="auto"/>
            </w:tcBorders>
          </w:tcPr>
          <w:p>
            <w:pPr>
              <w:jc w:val="center"/>
              <w:ind w:left="48"/>
              <w:spacing w:after="0"/>
              <w:rPr>
                <w:sz w:val="20"/>
                <w:szCs w:val="20"/>
                <w:color w:val="auto"/>
              </w:rPr>
            </w:pPr>
            <w:r>
              <w:rPr>
                <w:rFonts w:ascii="Arial" w:cs="Arial" w:eastAsia="Arial" w:hAnsi="Arial"/>
                <w:sz w:val="14"/>
                <w:szCs w:val="14"/>
                <w:b w:val="1"/>
                <w:bCs w:val="1"/>
                <w:color w:val="auto"/>
                <w:w w:val="99"/>
              </w:rPr>
              <w:t>Termination</w:t>
            </w:r>
          </w:p>
        </w:tc>
        <w:tc>
          <w:tcPr>
            <w:tcW w:w="19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Nine months ended September 30, 2026</w:t>
            </w:r>
          </w:p>
        </w:tc>
        <w:tc>
          <w:tcPr>
            <w:tcW w:w="3220" w:type="dxa"/>
            <w:vAlign w:val="bottom"/>
          </w:tcPr>
          <w:p>
            <w:pPr>
              <w:jc w:val="center"/>
              <w:ind w:left="1328"/>
              <w:spacing w:after="0" w:line="139" w:lineRule="exact"/>
              <w:rPr>
                <w:sz w:val="20"/>
                <w:szCs w:val="20"/>
                <w:color w:val="auto"/>
              </w:rPr>
            </w:pPr>
            <w:r>
              <w:rPr>
                <w:rFonts w:ascii="Arial" w:cs="Arial" w:eastAsia="Arial" w:hAnsi="Arial"/>
                <w:sz w:val="14"/>
                <w:szCs w:val="14"/>
                <w:b w:val="1"/>
                <w:bCs w:val="1"/>
                <w:color w:val="auto"/>
              </w:rPr>
              <w:t>restructuring</w:t>
            </w:r>
          </w:p>
        </w:tc>
        <w:tc>
          <w:tcPr>
            <w:tcW w:w="1520" w:type="dxa"/>
            <w:vAlign w:val="bottom"/>
          </w:tcPr>
          <w:p>
            <w:pPr>
              <w:jc w:val="center"/>
              <w:ind w:left="48"/>
              <w:spacing w:after="0" w:line="139" w:lineRule="exact"/>
              <w:rPr>
                <w:sz w:val="20"/>
                <w:szCs w:val="20"/>
                <w:color w:val="auto"/>
              </w:rPr>
            </w:pPr>
            <w:r>
              <w:rPr>
                <w:rFonts w:ascii="Arial" w:cs="Arial" w:eastAsia="Arial" w:hAnsi="Arial"/>
                <w:sz w:val="14"/>
                <w:szCs w:val="14"/>
                <w:b w:val="1"/>
                <w:bCs w:val="1"/>
                <w:color w:val="auto"/>
              </w:rPr>
              <w:t>and other</w:t>
            </w:r>
          </w:p>
        </w:tc>
        <w:tc>
          <w:tcPr>
            <w:tcW w:w="190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Asset Transfer Costs</w:t>
            </w:r>
          </w:p>
        </w:tc>
        <w:tc>
          <w:tcPr>
            <w:tcW w:w="0" w:type="dxa"/>
            <w:vAlign w:val="bottom"/>
          </w:tcPr>
          <w:p>
            <w:pPr>
              <w:spacing w:after="0"/>
              <w:rPr>
                <w:sz w:val="1"/>
                <w:szCs w:val="1"/>
                <w:color w:val="auto"/>
              </w:rPr>
            </w:pPr>
          </w:p>
        </w:tc>
      </w:tr>
      <w:tr>
        <w:trPr>
          <w:trHeight w:val="196"/>
        </w:trPr>
        <w:tc>
          <w:tcPr>
            <w:tcW w:w="4580" w:type="dxa"/>
            <w:vAlign w:val="bottom"/>
            <w:vMerge w:val="continue"/>
          </w:tcPr>
          <w:p>
            <w:pPr>
              <w:spacing w:after="0"/>
              <w:rPr>
                <w:sz w:val="17"/>
                <w:szCs w:val="17"/>
                <w:color w:val="auto"/>
              </w:rPr>
            </w:pPr>
          </w:p>
        </w:tc>
        <w:tc>
          <w:tcPr>
            <w:tcW w:w="3220" w:type="dxa"/>
            <w:vAlign w:val="bottom"/>
          </w:tcPr>
          <w:p>
            <w:pPr>
              <w:jc w:val="center"/>
              <w:ind w:left="1328"/>
              <w:spacing w:after="0"/>
              <w:rPr>
                <w:sz w:val="20"/>
                <w:szCs w:val="20"/>
                <w:color w:val="auto"/>
              </w:rPr>
            </w:pPr>
            <w:r>
              <w:rPr>
                <w:rFonts w:ascii="Arial" w:cs="Arial" w:eastAsia="Arial" w:hAnsi="Arial"/>
                <w:sz w:val="14"/>
                <w:szCs w:val="14"/>
                <w:b w:val="1"/>
                <w:bCs w:val="1"/>
                <w:color w:val="auto"/>
              </w:rPr>
              <w:t>costs incurred</w:t>
            </w:r>
          </w:p>
        </w:tc>
        <w:tc>
          <w:tcPr>
            <w:tcW w:w="1520" w:type="dxa"/>
            <w:vAlign w:val="bottom"/>
          </w:tcPr>
          <w:p>
            <w:pPr>
              <w:jc w:val="center"/>
              <w:ind w:left="48"/>
              <w:spacing w:after="0"/>
              <w:rPr>
                <w:sz w:val="20"/>
                <w:szCs w:val="20"/>
                <w:color w:val="auto"/>
              </w:rPr>
            </w:pPr>
            <w:r>
              <w:rPr>
                <w:rFonts w:ascii="Arial" w:cs="Arial" w:eastAsia="Arial" w:hAnsi="Arial"/>
                <w:sz w:val="14"/>
                <w:szCs w:val="14"/>
                <w:b w:val="1"/>
                <w:bCs w:val="1"/>
                <w:color w:val="auto"/>
                <w:w w:val="98"/>
              </w:rPr>
              <w:t>costs</w:t>
            </w:r>
          </w:p>
        </w:tc>
        <w:tc>
          <w:tcPr>
            <w:tcW w:w="1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13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342"/>
              <w:spacing w:after="0"/>
              <w:rPr>
                <w:sz w:val="20"/>
                <w:szCs w:val="20"/>
                <w:color w:val="auto"/>
              </w:rPr>
            </w:pPr>
            <w:r>
              <w:rPr>
                <w:rFonts w:ascii="Arial" w:cs="Arial" w:eastAsia="Arial" w:hAnsi="Arial"/>
                <w:sz w:val="16"/>
                <w:szCs w:val="16"/>
                <w:b w:val="1"/>
                <w:bCs w:val="1"/>
                <w:color w:val="auto"/>
              </w:rPr>
              <w:t>$</w:t>
            </w: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15,892</w:t>
            </w:r>
          </w:p>
        </w:tc>
        <w:tc>
          <w:tcPr>
            <w:tcW w:w="320" w:type="dxa"/>
            <w:vAlign w:val="bottom"/>
            <w:tcBorders>
              <w:top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8,677</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center"/>
              <w:ind w:left="640"/>
              <w:spacing w:after="0"/>
              <w:rPr>
                <w:sz w:val="20"/>
                <w:szCs w:val="20"/>
                <w:color w:val="auto"/>
              </w:rPr>
            </w:pPr>
            <w:r>
              <w:rPr>
                <w:rFonts w:ascii="Arial" w:cs="Arial" w:eastAsia="Arial" w:hAnsi="Arial"/>
                <w:sz w:val="16"/>
                <w:szCs w:val="16"/>
                <w:b w:val="1"/>
                <w:bCs w:val="1"/>
                <w:color w:val="auto"/>
                <w:w w:val="99"/>
              </w:rPr>
              <w:t>7,215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Corporate</w:t>
            </w:r>
          </w:p>
        </w:tc>
        <w:tc>
          <w:tcPr>
            <w:tcW w:w="13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2,539</w:t>
            </w:r>
          </w:p>
        </w:tc>
        <w:tc>
          <w:tcPr>
            <w:tcW w:w="3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2,539</w:t>
            </w:r>
          </w:p>
        </w:tc>
        <w:tc>
          <w:tcPr>
            <w:tcW w:w="2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1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18,431</w:t>
            </w:r>
          </w:p>
        </w:tc>
        <w:tc>
          <w:tcPr>
            <w:tcW w:w="3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11,216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left="640"/>
              <w:spacing w:after="0"/>
              <w:rPr>
                <w:sz w:val="20"/>
                <w:szCs w:val="20"/>
                <w:color w:val="auto"/>
              </w:rPr>
            </w:pPr>
            <w:r>
              <w:rPr>
                <w:rFonts w:ascii="Arial" w:cs="Arial" w:eastAsia="Arial" w:hAnsi="Arial"/>
                <w:sz w:val="16"/>
                <w:szCs w:val="16"/>
                <w:b w:val="1"/>
                <w:bCs w:val="1"/>
                <w:color w:val="auto"/>
                <w:w w:val="99"/>
              </w:rPr>
              <w:t>7,215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39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340" w:type="dxa"/>
            <w:vAlign w:val="bottom"/>
          </w:tcPr>
          <w:p>
            <w:pPr>
              <w:jc w:val="center"/>
              <w:ind w:right="82"/>
              <w:spacing w:after="0" w:line="147" w:lineRule="exact"/>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2"/>
                <w:szCs w:val="12"/>
                <w:color w:val="auto"/>
              </w:rPr>
            </w:pPr>
          </w:p>
        </w:tc>
        <w:tc>
          <w:tcPr>
            <w:tcW w:w="960" w:type="dxa"/>
            <w:vAlign w:val="bottom"/>
          </w:tcPr>
          <w:p>
            <w:pPr>
              <w:jc w:val="center"/>
              <w:ind w:left="41"/>
              <w:spacing w:after="0" w:line="147" w:lineRule="exact"/>
              <w:rPr>
                <w:sz w:val="20"/>
                <w:szCs w:val="20"/>
                <w:color w:val="auto"/>
              </w:rPr>
            </w:pPr>
            <w:r>
              <w:rPr>
                <w:rFonts w:ascii="Arial" w:cs="Arial" w:eastAsia="Arial" w:hAnsi="Arial"/>
                <w:sz w:val="14"/>
                <w:szCs w:val="14"/>
                <w:b w:val="1"/>
                <w:bCs w:val="1"/>
                <w:color w:val="auto"/>
                <w:w w:val="99"/>
              </w:rPr>
              <w:t>Termination</w:t>
            </w: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Pension Curtailment</w:t>
            </w:r>
          </w:p>
        </w:tc>
        <w:tc>
          <w:tcPr>
            <w:tcW w:w="0" w:type="dxa"/>
            <w:vAlign w:val="bottom"/>
          </w:tcPr>
          <w:p>
            <w:pPr>
              <w:spacing w:after="0"/>
              <w:rPr>
                <w:sz w:val="1"/>
                <w:szCs w:val="1"/>
                <w:color w:val="auto"/>
              </w:rPr>
            </w:pPr>
          </w:p>
        </w:tc>
      </w:tr>
      <w:tr>
        <w:trPr>
          <w:trHeight w:val="148"/>
        </w:trPr>
        <w:tc>
          <w:tcPr>
            <w:tcW w:w="3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Nine months ended September 30, 2025</w:t>
            </w:r>
          </w:p>
        </w:tc>
        <w:tc>
          <w:tcPr>
            <w:tcW w:w="1320" w:type="dxa"/>
            <w:vAlign w:val="bottom"/>
          </w:tcPr>
          <w:p>
            <w:pPr>
              <w:spacing w:after="0"/>
              <w:rPr>
                <w:sz w:val="12"/>
                <w:szCs w:val="12"/>
                <w:color w:val="auto"/>
              </w:rPr>
            </w:pPr>
          </w:p>
        </w:tc>
        <w:tc>
          <w:tcPr>
            <w:tcW w:w="134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rPr>
              <w:t>restructuring</w:t>
            </w:r>
          </w:p>
        </w:tc>
        <w:tc>
          <w:tcPr>
            <w:tcW w:w="260" w:type="dxa"/>
            <w:vAlign w:val="bottom"/>
          </w:tcPr>
          <w:p>
            <w:pPr>
              <w:spacing w:after="0"/>
              <w:rPr>
                <w:sz w:val="12"/>
                <w:szCs w:val="12"/>
                <w:color w:val="auto"/>
              </w:rPr>
            </w:pPr>
          </w:p>
        </w:tc>
        <w:tc>
          <w:tcPr>
            <w:tcW w:w="960" w:type="dxa"/>
            <w:vAlign w:val="bottom"/>
          </w:tcPr>
          <w:p>
            <w:pPr>
              <w:jc w:val="center"/>
              <w:ind w:left="41"/>
              <w:spacing w:after="0" w:line="149" w:lineRule="exact"/>
              <w:rPr>
                <w:sz w:val="20"/>
                <w:szCs w:val="20"/>
                <w:color w:val="auto"/>
              </w:rPr>
            </w:pPr>
            <w:r>
              <w:rPr>
                <w:rFonts w:ascii="Arial" w:cs="Arial" w:eastAsia="Arial" w:hAnsi="Arial"/>
                <w:sz w:val="14"/>
                <w:szCs w:val="14"/>
                <w:b w:val="1"/>
                <w:bCs w:val="1"/>
                <w:color w:val="auto"/>
              </w:rPr>
              <w:t>and other</w:t>
            </w:r>
          </w:p>
        </w:tc>
        <w:tc>
          <w:tcPr>
            <w:tcW w:w="320" w:type="dxa"/>
            <w:vAlign w:val="bottom"/>
          </w:tcPr>
          <w:p>
            <w:pPr>
              <w:spacing w:after="0"/>
              <w:rPr>
                <w:sz w:val="12"/>
                <w:szCs w:val="12"/>
                <w:color w:val="auto"/>
              </w:rPr>
            </w:pPr>
          </w:p>
        </w:tc>
        <w:tc>
          <w:tcPr>
            <w:tcW w:w="15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Impairment of assets</w:t>
            </w:r>
          </w:p>
        </w:tc>
        <w:tc>
          <w:tcPr>
            <w:tcW w:w="15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900" w:type="dxa"/>
            <w:vAlign w:val="bottom"/>
            <w:vMerge w:val="continue"/>
          </w:tcPr>
          <w:p>
            <w:pPr>
              <w:spacing w:after="0"/>
              <w:rPr>
                <w:sz w:val="16"/>
                <w:szCs w:val="16"/>
                <w:color w:val="auto"/>
              </w:rPr>
            </w:pPr>
          </w:p>
        </w:tc>
        <w:tc>
          <w:tcPr>
            <w:tcW w:w="1320" w:type="dxa"/>
            <w:vAlign w:val="bottom"/>
          </w:tcPr>
          <w:p>
            <w:pPr>
              <w:spacing w:after="0"/>
              <w:rPr>
                <w:sz w:val="16"/>
                <w:szCs w:val="16"/>
                <w:color w:val="auto"/>
              </w:rPr>
            </w:pPr>
          </w:p>
        </w:tc>
        <w:tc>
          <w:tcPr>
            <w:tcW w:w="1340" w:type="dxa"/>
            <w:vAlign w:val="bottom"/>
          </w:tcPr>
          <w:p>
            <w:pPr>
              <w:jc w:val="center"/>
              <w:ind w:right="82"/>
              <w:spacing w:after="0"/>
              <w:rPr>
                <w:sz w:val="20"/>
                <w:szCs w:val="20"/>
                <w:color w:val="auto"/>
              </w:rPr>
            </w:pPr>
            <w:r>
              <w:rPr>
                <w:rFonts w:ascii="Arial" w:cs="Arial" w:eastAsia="Arial" w:hAnsi="Arial"/>
                <w:sz w:val="14"/>
                <w:szCs w:val="14"/>
                <w:b w:val="1"/>
                <w:bCs w:val="1"/>
                <w:color w:val="auto"/>
              </w:rPr>
              <w:t>costs incurred</w:t>
            </w:r>
          </w:p>
        </w:tc>
        <w:tc>
          <w:tcPr>
            <w:tcW w:w="260" w:type="dxa"/>
            <w:vAlign w:val="bottom"/>
          </w:tcPr>
          <w:p>
            <w:pPr>
              <w:spacing w:after="0"/>
              <w:rPr>
                <w:sz w:val="16"/>
                <w:szCs w:val="16"/>
                <w:color w:val="auto"/>
              </w:rPr>
            </w:pPr>
          </w:p>
        </w:tc>
        <w:tc>
          <w:tcPr>
            <w:tcW w:w="960" w:type="dxa"/>
            <w:vAlign w:val="bottom"/>
          </w:tcPr>
          <w:p>
            <w:pPr>
              <w:jc w:val="center"/>
              <w:ind w:left="41"/>
              <w:spacing w:after="0"/>
              <w:rPr>
                <w:sz w:val="20"/>
                <w:szCs w:val="20"/>
                <w:color w:val="auto"/>
              </w:rPr>
            </w:pPr>
            <w:r>
              <w:rPr>
                <w:rFonts w:ascii="Arial" w:cs="Arial" w:eastAsia="Arial" w:hAnsi="Arial"/>
                <w:sz w:val="14"/>
                <w:szCs w:val="14"/>
                <w:b w:val="1"/>
                <w:bCs w:val="1"/>
                <w:color w:val="auto"/>
                <w:w w:val="98"/>
              </w:rPr>
              <w:t>costs</w:t>
            </w:r>
          </w:p>
        </w:tc>
        <w:tc>
          <w:tcPr>
            <w:tcW w:w="320" w:type="dxa"/>
            <w:vAlign w:val="bottom"/>
          </w:tcPr>
          <w:p>
            <w:pPr>
              <w:spacing w:after="0"/>
              <w:rPr>
                <w:sz w:val="16"/>
                <w:szCs w:val="16"/>
                <w:color w:val="auto"/>
              </w:rPr>
            </w:pPr>
          </w:p>
        </w:tc>
        <w:tc>
          <w:tcPr>
            <w:tcW w:w="156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ind w:left="120"/>
              <w:spacing w:after="0"/>
              <w:rPr>
                <w:sz w:val="20"/>
                <w:szCs w:val="20"/>
                <w:color w:val="auto"/>
              </w:rPr>
            </w:pPr>
            <w:r>
              <w:rPr>
                <w:rFonts w:ascii="Arial" w:cs="Arial" w:eastAsia="Arial" w:hAnsi="Arial"/>
                <w:sz w:val="14"/>
                <w:szCs w:val="14"/>
                <w:b w:val="1"/>
                <w:bCs w:val="1"/>
                <w:color w:val="auto"/>
              </w:rPr>
              <w:t>(Gain)/Loss</w:t>
            </w:r>
          </w:p>
        </w:tc>
        <w:tc>
          <w:tcPr>
            <w:tcW w:w="0" w:type="dxa"/>
            <w:vAlign w:val="bottom"/>
          </w:tcPr>
          <w:p>
            <w:pPr>
              <w:spacing w:after="0"/>
              <w:rPr>
                <w:sz w:val="1"/>
                <w:szCs w:val="1"/>
                <w:color w:val="auto"/>
              </w:rPr>
            </w:pPr>
          </w:p>
        </w:tc>
      </w:tr>
      <w:tr>
        <w:trPr>
          <w:trHeight w:val="197"/>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3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6,578</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7,615</w:t>
            </w:r>
          </w:p>
        </w:tc>
        <w:tc>
          <w:tcPr>
            <w:tcW w:w="48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723</w:t>
            </w:r>
          </w:p>
        </w:tc>
        <w:tc>
          <w:tcPr>
            <w:tcW w:w="2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center"/>
              <w:ind w:left="660"/>
              <w:spacing w:after="0"/>
              <w:rPr>
                <w:sz w:val="20"/>
                <w:szCs w:val="20"/>
                <w:color w:val="auto"/>
              </w:rPr>
            </w:pPr>
            <w:r>
              <w:rPr>
                <w:rFonts w:ascii="Arial" w:cs="Arial" w:eastAsia="Arial" w:hAnsi="Arial"/>
                <w:sz w:val="16"/>
                <w:szCs w:val="16"/>
                <w:color w:val="auto"/>
              </w:rPr>
              <w:t>(1,760)</w:t>
            </w:r>
          </w:p>
        </w:tc>
        <w:tc>
          <w:tcPr>
            <w:tcW w:w="0" w:type="dxa"/>
            <w:vAlign w:val="bottom"/>
          </w:tcPr>
          <w:p>
            <w:pPr>
              <w:spacing w:after="0"/>
              <w:rPr>
                <w:sz w:val="1"/>
                <w:szCs w:val="1"/>
                <w:color w:val="auto"/>
              </w:rPr>
            </w:pPr>
          </w:p>
        </w:tc>
      </w:tr>
      <w:tr>
        <w:trPr>
          <w:trHeight w:val="215"/>
        </w:trPr>
        <w:tc>
          <w:tcPr>
            <w:tcW w:w="390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1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1,801</w:t>
            </w:r>
          </w:p>
        </w:tc>
        <w:tc>
          <w:tcPr>
            <w:tcW w:w="26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1,801</w:t>
            </w: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28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Corporate</w:t>
            </w:r>
          </w:p>
        </w:tc>
        <w:tc>
          <w:tcPr>
            <w:tcW w:w="13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1,772</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1,772</w:t>
            </w:r>
          </w:p>
        </w:tc>
        <w:tc>
          <w:tcPr>
            <w:tcW w:w="4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w:t>
            </w: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10,151</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11,188</w:t>
            </w:r>
          </w:p>
        </w:tc>
        <w:tc>
          <w:tcPr>
            <w:tcW w:w="48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723</w:t>
            </w:r>
          </w:p>
        </w:tc>
        <w:tc>
          <w:tcPr>
            <w:tcW w:w="2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gridSpan w:val="2"/>
          </w:tcPr>
          <w:p>
            <w:pPr>
              <w:jc w:val="center"/>
              <w:ind w:left="660"/>
              <w:spacing w:after="0"/>
              <w:rPr>
                <w:sz w:val="20"/>
                <w:szCs w:val="20"/>
                <w:color w:val="auto"/>
              </w:rPr>
            </w:pPr>
            <w:r>
              <w:rPr>
                <w:rFonts w:ascii="Arial" w:cs="Arial" w:eastAsia="Arial" w:hAnsi="Arial"/>
                <w:sz w:val="16"/>
                <w:szCs w:val="16"/>
                <w:color w:val="auto"/>
              </w:rPr>
              <w:t>(1,760)</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year-to-date changes in restructuring liabilities for 2026 and 2025: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72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vMerge w:val="restart"/>
          </w:tcPr>
          <w:p>
            <w:pPr>
              <w:jc w:val="right"/>
              <w:ind w:right="64"/>
              <w:spacing w:after="0"/>
              <w:rPr>
                <w:sz w:val="20"/>
                <w:szCs w:val="20"/>
                <w:color w:val="auto"/>
              </w:rPr>
            </w:pPr>
            <w:r>
              <w:rPr>
                <w:rFonts w:ascii="Arial" w:cs="Arial" w:eastAsia="Arial" w:hAnsi="Arial"/>
                <w:sz w:val="14"/>
                <w:szCs w:val="14"/>
                <w:b w:val="1"/>
                <w:bCs w:val="1"/>
                <w:color w:val="auto"/>
              </w:rPr>
              <w:t>December 31, 2025</w:t>
            </w:r>
          </w:p>
        </w:tc>
        <w:tc>
          <w:tcPr>
            <w:tcW w:w="20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center"/>
              <w:ind w:right="65"/>
              <w:spacing w:after="0"/>
              <w:rPr>
                <w:sz w:val="20"/>
                <w:szCs w:val="20"/>
                <w:color w:val="auto"/>
              </w:rPr>
            </w:pPr>
            <w:r>
              <w:rPr>
                <w:rFonts w:ascii="Arial" w:cs="Arial" w:eastAsia="Arial" w:hAnsi="Arial"/>
                <w:sz w:val="14"/>
                <w:szCs w:val="14"/>
                <w:b w:val="1"/>
                <w:bCs w:val="1"/>
                <w:color w:val="auto"/>
              </w:rPr>
              <w:t>Restructuring</w:t>
            </w:r>
          </w:p>
        </w:tc>
        <w:tc>
          <w:tcPr>
            <w:tcW w:w="14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vMerge w:val="restart"/>
          </w:tcPr>
          <w:p>
            <w:pPr>
              <w:jc w:val="right"/>
              <w:ind w:right="44"/>
              <w:spacing w:after="0"/>
              <w:rPr>
                <w:sz w:val="20"/>
                <w:szCs w:val="20"/>
                <w:color w:val="auto"/>
              </w:rPr>
            </w:pPr>
            <w:r>
              <w:rPr>
                <w:rFonts w:ascii="Arial" w:cs="Arial" w:eastAsia="Arial" w:hAnsi="Arial"/>
                <w:sz w:val="14"/>
                <w:szCs w:val="14"/>
                <w:b w:val="1"/>
                <w:bCs w:val="1"/>
                <w:color w:val="auto"/>
              </w:rPr>
              <w:t>Payments and other</w:t>
            </w:r>
          </w:p>
        </w:tc>
        <w:tc>
          <w:tcPr>
            <w:tcW w:w="12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vMerge w:val="restart"/>
          </w:tcPr>
          <w:p>
            <w:pPr>
              <w:jc w:val="right"/>
              <w:ind w:right="84"/>
              <w:spacing w:after="0"/>
              <w:rPr>
                <w:sz w:val="20"/>
                <w:szCs w:val="20"/>
                <w:color w:val="auto"/>
              </w:rPr>
            </w:pPr>
            <w:r>
              <w:rPr>
                <w:rFonts w:ascii="Arial" w:cs="Arial" w:eastAsia="Arial" w:hAnsi="Arial"/>
                <w:sz w:val="14"/>
                <w:szCs w:val="14"/>
                <w:b w:val="1"/>
                <w:bCs w:val="1"/>
                <w:color w:val="auto"/>
              </w:rPr>
              <w:t>September 30, 2026</w:t>
            </w:r>
          </w:p>
        </w:tc>
        <w:tc>
          <w:tcPr>
            <w:tcW w:w="0" w:type="dxa"/>
            <w:vAlign w:val="bottom"/>
          </w:tcPr>
          <w:p>
            <w:pPr>
              <w:spacing w:after="0"/>
              <w:rPr>
                <w:sz w:val="1"/>
                <w:szCs w:val="1"/>
                <w:color w:val="auto"/>
              </w:rPr>
            </w:pPr>
          </w:p>
        </w:tc>
      </w:tr>
      <w:tr>
        <w:trPr>
          <w:trHeight w:val="185"/>
        </w:trPr>
        <w:tc>
          <w:tcPr>
            <w:tcW w:w="372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rPr>
              <w:t>charges accrued</w:t>
            </w: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restructuring and other liabilities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2,766</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18,431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(19,855)</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shd w:val="clear" w:color="auto" w:fill="CCEEFF"/>
          </w:tcPr>
          <w:p>
            <w:pPr>
              <w:jc w:val="right"/>
              <w:ind w:right="4"/>
              <w:spacing w:after="0"/>
              <w:rPr>
                <w:sz w:val="20"/>
                <w:szCs w:val="20"/>
                <w:color w:val="auto"/>
              </w:rPr>
            </w:pPr>
            <w:r>
              <w:rPr>
                <w:rFonts w:ascii="Arial" w:cs="Arial" w:eastAsia="Arial" w:hAnsi="Arial"/>
                <w:sz w:val="16"/>
                <w:szCs w:val="16"/>
                <w:b w:val="1"/>
                <w:bCs w:val="1"/>
                <w:color w:val="auto"/>
              </w:rPr>
              <w:t>1,342</w:t>
            </w:r>
          </w:p>
        </w:tc>
        <w:tc>
          <w:tcPr>
            <w:tcW w:w="0" w:type="dxa"/>
            <w:vAlign w:val="bottom"/>
          </w:tcPr>
          <w:p>
            <w:pPr>
              <w:spacing w:after="0"/>
              <w:rPr>
                <w:sz w:val="1"/>
                <w:szCs w:val="1"/>
                <w:color w:val="auto"/>
              </w:rPr>
            </w:pPr>
          </w:p>
        </w:tc>
      </w:tr>
      <w:tr>
        <w:trPr>
          <w:trHeight w:val="378"/>
        </w:trPr>
        <w:tc>
          <w:tcPr>
            <w:tcW w:w="37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12"/>
                <w:szCs w:val="12"/>
                <w:color w:val="auto"/>
              </w:rPr>
            </w:pPr>
          </w:p>
        </w:tc>
        <w:tc>
          <w:tcPr>
            <w:tcW w:w="1460" w:type="dxa"/>
            <w:vAlign w:val="bottom"/>
            <w:vMerge w:val="restart"/>
          </w:tcPr>
          <w:p>
            <w:pPr>
              <w:jc w:val="right"/>
              <w:ind w:right="64"/>
              <w:spacing w:after="0"/>
              <w:rPr>
                <w:sz w:val="20"/>
                <w:szCs w:val="20"/>
                <w:color w:val="auto"/>
              </w:rPr>
            </w:pPr>
            <w:r>
              <w:rPr>
                <w:rFonts w:ascii="Arial" w:cs="Arial" w:eastAsia="Arial" w:hAnsi="Arial"/>
                <w:sz w:val="14"/>
                <w:szCs w:val="14"/>
                <w:b w:val="1"/>
                <w:bCs w:val="1"/>
                <w:color w:val="auto"/>
              </w:rPr>
              <w:t>December 31, 2024</w:t>
            </w:r>
          </w:p>
        </w:tc>
        <w:tc>
          <w:tcPr>
            <w:tcW w:w="200" w:type="dxa"/>
            <w:vAlign w:val="bottom"/>
          </w:tcPr>
          <w:p>
            <w:pPr>
              <w:spacing w:after="0"/>
              <w:rPr>
                <w:sz w:val="12"/>
                <w:szCs w:val="12"/>
                <w:color w:val="auto"/>
              </w:rPr>
            </w:pPr>
          </w:p>
        </w:tc>
        <w:tc>
          <w:tcPr>
            <w:tcW w:w="1440" w:type="dxa"/>
            <w:vAlign w:val="bottom"/>
          </w:tcPr>
          <w:p>
            <w:pPr>
              <w:jc w:val="center"/>
              <w:ind w:right="65"/>
              <w:spacing w:after="0" w:line="142" w:lineRule="exact"/>
              <w:rPr>
                <w:sz w:val="20"/>
                <w:szCs w:val="20"/>
                <w:color w:val="auto"/>
              </w:rPr>
            </w:pPr>
            <w:r>
              <w:rPr>
                <w:rFonts w:ascii="Arial" w:cs="Arial" w:eastAsia="Arial" w:hAnsi="Arial"/>
                <w:sz w:val="14"/>
                <w:szCs w:val="14"/>
                <w:b w:val="1"/>
                <w:bCs w:val="1"/>
                <w:color w:val="auto"/>
              </w:rPr>
              <w:t>Restructuring</w:t>
            </w:r>
          </w:p>
        </w:tc>
        <w:tc>
          <w:tcPr>
            <w:tcW w:w="140" w:type="dxa"/>
            <w:vAlign w:val="bottom"/>
          </w:tcPr>
          <w:p>
            <w:pPr>
              <w:spacing w:after="0"/>
              <w:rPr>
                <w:sz w:val="12"/>
                <w:szCs w:val="12"/>
                <w:color w:val="auto"/>
              </w:rPr>
            </w:pPr>
          </w:p>
        </w:tc>
        <w:tc>
          <w:tcPr>
            <w:tcW w:w="1500" w:type="dxa"/>
            <w:vAlign w:val="bottom"/>
            <w:vMerge w:val="restart"/>
          </w:tcPr>
          <w:p>
            <w:pPr>
              <w:jc w:val="right"/>
              <w:ind w:right="44"/>
              <w:spacing w:after="0"/>
              <w:rPr>
                <w:sz w:val="20"/>
                <w:szCs w:val="20"/>
                <w:color w:val="auto"/>
              </w:rPr>
            </w:pPr>
            <w:r>
              <w:rPr>
                <w:rFonts w:ascii="Arial" w:cs="Arial" w:eastAsia="Arial" w:hAnsi="Arial"/>
                <w:sz w:val="14"/>
                <w:szCs w:val="14"/>
                <w:b w:val="1"/>
                <w:bCs w:val="1"/>
                <w:color w:val="auto"/>
              </w:rPr>
              <w:t>Payments and other</w:t>
            </w:r>
          </w:p>
        </w:tc>
        <w:tc>
          <w:tcPr>
            <w:tcW w:w="120" w:type="dxa"/>
            <w:vAlign w:val="bottom"/>
          </w:tcPr>
          <w:p>
            <w:pPr>
              <w:spacing w:after="0"/>
              <w:rPr>
                <w:sz w:val="12"/>
                <w:szCs w:val="12"/>
                <w:color w:val="auto"/>
              </w:rPr>
            </w:pPr>
          </w:p>
        </w:tc>
        <w:tc>
          <w:tcPr>
            <w:tcW w:w="1520" w:type="dxa"/>
            <w:vAlign w:val="bottom"/>
            <w:vMerge w:val="restart"/>
          </w:tcPr>
          <w:p>
            <w:pPr>
              <w:jc w:val="right"/>
              <w:ind w:right="84"/>
              <w:spacing w:after="0"/>
              <w:rPr>
                <w:sz w:val="20"/>
                <w:szCs w:val="20"/>
                <w:color w:val="auto"/>
              </w:rPr>
            </w:pPr>
            <w:r>
              <w:rPr>
                <w:rFonts w:ascii="Arial" w:cs="Arial" w:eastAsia="Arial" w:hAnsi="Arial"/>
                <w:sz w:val="14"/>
                <w:szCs w:val="14"/>
                <w:b w:val="1"/>
                <w:bCs w:val="1"/>
                <w:color w:val="auto"/>
              </w:rPr>
              <w:t>September 30, 2025</w:t>
            </w:r>
          </w:p>
        </w:tc>
        <w:tc>
          <w:tcPr>
            <w:tcW w:w="0" w:type="dxa"/>
            <w:vAlign w:val="bottom"/>
          </w:tcPr>
          <w:p>
            <w:pPr>
              <w:spacing w:after="0"/>
              <w:rPr>
                <w:sz w:val="1"/>
                <w:szCs w:val="1"/>
                <w:color w:val="auto"/>
              </w:rPr>
            </w:pPr>
          </w:p>
        </w:tc>
      </w:tr>
      <w:tr>
        <w:trPr>
          <w:trHeight w:val="189"/>
        </w:trPr>
        <w:tc>
          <w:tcPr>
            <w:tcW w:w="372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rPr>
              <w:t>charges accrued</w:t>
            </w: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restructuring and other liabilities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4,996</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11,188</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(12,878)</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3,306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Other (Income)/Expense, net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(income)/expense, net are: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32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560" w:type="dxa"/>
            <w:vAlign w:val="bottom"/>
            <w:tcBorders>
              <w:top w:val="single" w:sz="8" w:color="auto"/>
              <w:bottom w:val="single" w:sz="8" w:color="auto"/>
            </w:tcBorders>
            <w:gridSpan w:val="3"/>
          </w:tcPr>
          <w:p>
            <w:pPr>
              <w:jc w:val="right"/>
              <w:ind w:right="41"/>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Borders>
              <w:top w:val="single" w:sz="8" w:color="auto"/>
              <w:bottom w:val="single" w:sz="8" w:color="auto"/>
            </w:tcBorders>
          </w:tcPr>
          <w:p>
            <w:pPr>
              <w:spacing w:after="0"/>
              <w:rPr>
                <w:sz w:val="18"/>
                <w:szCs w:val="18"/>
                <w:color w:val="auto"/>
              </w:rPr>
            </w:pPr>
          </w:p>
        </w:tc>
        <w:tc>
          <w:tcPr>
            <w:tcW w:w="2960" w:type="dxa"/>
            <w:vAlign w:val="bottom"/>
            <w:tcBorders>
              <w:top w:val="single" w:sz="8" w:color="auto"/>
              <w:bottom w:val="single" w:sz="8" w:color="auto"/>
            </w:tcBorders>
            <w:gridSpan w:val="3"/>
          </w:tcPr>
          <w:p>
            <w:pPr>
              <w:jc w:val="right"/>
              <w:ind w:right="36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10"/>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2026</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2025</w:t>
            </w: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2026</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10"/>
        </w:trPr>
        <w:tc>
          <w:tcPr>
            <w:tcW w:w="5320" w:type="dxa"/>
            <w:vAlign w:val="bottom"/>
          </w:tcPr>
          <w:p>
            <w:pPr>
              <w:ind w:left="20"/>
              <w:spacing w:after="0"/>
              <w:rPr>
                <w:sz w:val="20"/>
                <w:szCs w:val="20"/>
                <w:color w:val="auto"/>
              </w:rPr>
            </w:pPr>
            <w:r>
              <w:rPr>
                <w:rFonts w:ascii="Arial" w:cs="Arial" w:eastAsia="Arial" w:hAnsi="Arial"/>
                <w:sz w:val="16"/>
                <w:szCs w:val="16"/>
                <w:color w:val="auto"/>
              </w:rPr>
              <w:t>Currency transaction losses/(gains)</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(2,101)</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(1,054)</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Pr>
          <w:p>
            <w:pPr>
              <w:jc w:val="center"/>
              <w:ind w:left="702"/>
              <w:spacing w:after="0"/>
              <w:rPr>
                <w:sz w:val="20"/>
                <w:szCs w:val="20"/>
                <w:color w:val="auto"/>
              </w:rPr>
            </w:pPr>
            <w:r>
              <w:rPr>
                <w:rFonts w:ascii="Arial" w:cs="Arial" w:eastAsia="Arial" w:hAnsi="Arial"/>
                <w:sz w:val="16"/>
                <w:szCs w:val="16"/>
                <w:b w:val="1"/>
                <w:bCs w:val="1"/>
                <w:color w:val="auto"/>
              </w:rPr>
              <w:t>(4,792)</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center"/>
              <w:ind w:left="601"/>
              <w:spacing w:after="0"/>
              <w:rPr>
                <w:sz w:val="20"/>
                <w:szCs w:val="20"/>
                <w:color w:val="auto"/>
              </w:rPr>
            </w:pPr>
            <w:r>
              <w:rPr>
                <w:rFonts w:ascii="Arial" w:cs="Arial" w:eastAsia="Arial" w:hAnsi="Arial"/>
                <w:sz w:val="16"/>
                <w:szCs w:val="16"/>
                <w:color w:val="auto"/>
                <w:w w:val="99"/>
              </w:rPr>
              <w:t>7,751</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instruments losses/(gains)</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(119)</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center"/>
              <w:ind w:left="702"/>
              <w:spacing w:after="0"/>
              <w:rPr>
                <w:sz w:val="20"/>
                <w:szCs w:val="20"/>
                <w:color w:val="auto"/>
              </w:rPr>
            </w:pPr>
            <w:r>
              <w:rPr>
                <w:rFonts w:ascii="Arial" w:cs="Arial" w:eastAsia="Arial" w:hAnsi="Arial"/>
                <w:sz w:val="16"/>
                <w:szCs w:val="16"/>
                <w:b w:val="1"/>
                <w:bCs w:val="1"/>
                <w:color w:val="auto"/>
              </w:rPr>
              <w:t>(1,573)</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601"/>
              <w:spacing w:after="0"/>
              <w:rPr>
                <w:sz w:val="20"/>
                <w:szCs w:val="20"/>
                <w:color w:val="auto"/>
              </w:rPr>
            </w:pPr>
            <w:r>
              <w:rPr>
                <w:rFonts w:ascii="Arial" w:cs="Arial" w:eastAsia="Arial" w:hAnsi="Arial"/>
                <w:sz w:val="16"/>
                <w:szCs w:val="16"/>
                <w:color w:val="auto"/>
              </w:rPr>
              <w:t>(3,357)</w:t>
            </w:r>
          </w:p>
        </w:tc>
        <w:tc>
          <w:tcPr>
            <w:tcW w:w="0" w:type="dxa"/>
            <w:vAlign w:val="bottom"/>
          </w:tcPr>
          <w:p>
            <w:pPr>
              <w:spacing w:after="0"/>
              <w:rPr>
                <w:sz w:val="1"/>
                <w:szCs w:val="1"/>
                <w:color w:val="auto"/>
              </w:rPr>
            </w:pPr>
          </w:p>
        </w:tc>
      </w:tr>
      <w:tr>
        <w:trPr>
          <w:trHeight w:val="162"/>
        </w:trPr>
        <w:tc>
          <w:tcPr>
            <w:tcW w:w="5320" w:type="dxa"/>
            <w:vAlign w:val="bottom"/>
          </w:tcPr>
          <w:p>
            <w:pPr>
              <w:ind w:left="20"/>
              <w:spacing w:after="0" w:line="162" w:lineRule="exact"/>
              <w:rPr>
                <w:sz w:val="20"/>
                <w:szCs w:val="20"/>
                <w:color w:val="auto"/>
              </w:rPr>
            </w:pPr>
            <w:r>
              <w:rPr>
                <w:rFonts w:ascii="Arial" w:cs="Arial" w:eastAsia="Arial" w:hAnsi="Arial"/>
                <w:sz w:val="16"/>
                <w:szCs w:val="16"/>
                <w:color w:val="auto"/>
              </w:rPr>
              <w:t>Components of net periodic pension and postretirement cost other than</w:t>
            </w:r>
          </w:p>
        </w:tc>
        <w:tc>
          <w:tcPr>
            <w:tcW w:w="1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1,478</w:t>
            </w:r>
          </w:p>
        </w:tc>
        <w:tc>
          <w:tcPr>
            <w:tcW w:w="320" w:type="dxa"/>
            <w:vAlign w:val="bottom"/>
          </w:tcPr>
          <w:p>
            <w:pPr>
              <w:spacing w:after="0"/>
              <w:rPr>
                <w:sz w:val="14"/>
                <w:szCs w:val="14"/>
                <w:color w:val="auto"/>
              </w:rPr>
            </w:pPr>
          </w:p>
        </w:tc>
        <w:tc>
          <w:tcPr>
            <w:tcW w:w="1020" w:type="dxa"/>
            <w:vAlign w:val="bottom"/>
            <w:vMerge w:val="restart"/>
          </w:tcPr>
          <w:p>
            <w:pPr>
              <w:jc w:val="right"/>
              <w:ind w:right="1"/>
              <w:spacing w:after="0"/>
              <w:rPr>
                <w:sz w:val="20"/>
                <w:szCs w:val="20"/>
                <w:color w:val="auto"/>
              </w:rPr>
            </w:pPr>
            <w:r>
              <w:rPr>
                <w:rFonts w:ascii="Arial" w:cs="Arial" w:eastAsia="Arial" w:hAnsi="Arial"/>
                <w:sz w:val="16"/>
                <w:szCs w:val="16"/>
                <w:color w:val="auto"/>
              </w:rPr>
              <w:t>1,011</w:t>
            </w:r>
          </w:p>
        </w:tc>
        <w:tc>
          <w:tcPr>
            <w:tcW w:w="280" w:type="dxa"/>
            <w:vAlign w:val="bottom"/>
          </w:tcPr>
          <w:p>
            <w:pPr>
              <w:spacing w:after="0"/>
              <w:rPr>
                <w:sz w:val="14"/>
                <w:szCs w:val="14"/>
                <w:color w:val="auto"/>
              </w:rPr>
            </w:pPr>
          </w:p>
        </w:tc>
        <w:tc>
          <w:tcPr>
            <w:tcW w:w="1340" w:type="dxa"/>
            <w:vAlign w:val="bottom"/>
            <w:vMerge w:val="restart"/>
          </w:tcPr>
          <w:p>
            <w:pPr>
              <w:jc w:val="center"/>
              <w:ind w:left="702"/>
              <w:spacing w:after="0"/>
              <w:rPr>
                <w:sz w:val="20"/>
                <w:szCs w:val="20"/>
                <w:color w:val="auto"/>
              </w:rPr>
            </w:pPr>
            <w:r>
              <w:rPr>
                <w:rFonts w:ascii="Arial" w:cs="Arial" w:eastAsia="Arial" w:hAnsi="Arial"/>
                <w:sz w:val="16"/>
                <w:szCs w:val="16"/>
                <w:b w:val="1"/>
                <w:bCs w:val="1"/>
                <w:color w:val="auto"/>
                <w:w w:val="99"/>
              </w:rPr>
              <w:t>4,439</w:t>
            </w:r>
          </w:p>
        </w:tc>
        <w:tc>
          <w:tcPr>
            <w:tcW w:w="380" w:type="dxa"/>
            <w:vAlign w:val="bottom"/>
          </w:tcPr>
          <w:p>
            <w:pPr>
              <w:spacing w:after="0"/>
              <w:rPr>
                <w:sz w:val="14"/>
                <w:szCs w:val="14"/>
                <w:color w:val="auto"/>
              </w:rPr>
            </w:pPr>
          </w:p>
        </w:tc>
        <w:tc>
          <w:tcPr>
            <w:tcW w:w="1240" w:type="dxa"/>
            <w:vAlign w:val="bottom"/>
            <w:vMerge w:val="restart"/>
          </w:tcPr>
          <w:p>
            <w:pPr>
              <w:jc w:val="center"/>
              <w:ind w:left="601"/>
              <w:spacing w:after="0"/>
              <w:rPr>
                <w:sz w:val="20"/>
                <w:szCs w:val="20"/>
                <w:color w:val="auto"/>
              </w:rPr>
            </w:pPr>
            <w:r>
              <w:rPr>
                <w:rFonts w:ascii="Arial" w:cs="Arial" w:eastAsia="Arial" w:hAnsi="Arial"/>
                <w:sz w:val="16"/>
                <w:szCs w:val="16"/>
                <w:color w:val="auto"/>
                <w:w w:val="99"/>
              </w:rPr>
              <w:t>1,334</w:t>
            </w:r>
          </w:p>
        </w:tc>
        <w:tc>
          <w:tcPr>
            <w:tcW w:w="0" w:type="dxa"/>
            <w:vAlign w:val="bottom"/>
          </w:tcPr>
          <w:p>
            <w:pPr>
              <w:spacing w:after="0"/>
              <w:rPr>
                <w:sz w:val="1"/>
                <w:szCs w:val="1"/>
                <w:color w:val="auto"/>
              </w:rPr>
            </w:pPr>
          </w:p>
        </w:tc>
      </w:tr>
      <w:tr>
        <w:trPr>
          <w:trHeight w:val="216"/>
        </w:trPr>
        <w:tc>
          <w:tcPr>
            <w:tcW w:w="532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1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losses/(gains)</w:t>
            </w: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(985)</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2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center"/>
              <w:ind w:left="702"/>
              <w:spacing w:after="0"/>
              <w:rPr>
                <w:sz w:val="20"/>
                <w:szCs w:val="20"/>
                <w:color w:val="auto"/>
              </w:rPr>
            </w:pPr>
            <w:r>
              <w:rPr>
                <w:rFonts w:ascii="Arial" w:cs="Arial" w:eastAsia="Arial" w:hAnsi="Arial"/>
                <w:sz w:val="16"/>
                <w:szCs w:val="16"/>
                <w:b w:val="1"/>
                <w:bCs w:val="1"/>
                <w:color w:val="auto"/>
              </w:rPr>
              <w:t>(2,955)</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center"/>
              <w:ind w:left="601"/>
              <w:spacing w:after="0"/>
              <w:rPr>
                <w:sz w:val="20"/>
                <w:szCs w:val="20"/>
                <w:color w:val="auto"/>
              </w:rPr>
            </w:pPr>
            <w:r>
              <w:rPr>
                <w:rFonts w:ascii="Arial" w:cs="Arial" w:eastAsia="Arial" w:hAnsi="Arial"/>
                <w:sz w:val="16"/>
                <w:szCs w:val="16"/>
                <w:color w:val="auto"/>
              </w:rPr>
              <w:t>(1,558)</w:t>
            </w:r>
          </w:p>
        </w:tc>
        <w:tc>
          <w:tcPr>
            <w:tcW w:w="0" w:type="dxa"/>
            <w:vAlign w:val="bottom"/>
          </w:tcPr>
          <w:p>
            <w:pPr>
              <w:spacing w:after="0"/>
              <w:rPr>
                <w:sz w:val="1"/>
                <w:szCs w:val="1"/>
                <w:color w:val="auto"/>
              </w:rPr>
            </w:pPr>
          </w:p>
        </w:tc>
      </w:tr>
      <w:tr>
        <w:trPr>
          <w:trHeight w:val="210"/>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other (income)/expense, net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(1,727)</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tcPr>
          <w:p>
            <w:pPr>
              <w:jc w:val="center"/>
              <w:ind w:left="702"/>
              <w:spacing w:after="0"/>
              <w:rPr>
                <w:sz w:val="20"/>
                <w:szCs w:val="20"/>
                <w:color w:val="auto"/>
              </w:rPr>
            </w:pPr>
            <w:r>
              <w:rPr>
                <w:rFonts w:ascii="Arial" w:cs="Arial" w:eastAsia="Arial" w:hAnsi="Arial"/>
                <w:sz w:val="16"/>
                <w:szCs w:val="16"/>
                <w:b w:val="1"/>
                <w:bCs w:val="1"/>
                <w:color w:val="auto"/>
              </w:rPr>
              <w:t>(4,881)</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center"/>
              <w:ind w:left="601"/>
              <w:spacing w:after="0"/>
              <w:rPr>
                <w:sz w:val="20"/>
                <w:szCs w:val="20"/>
                <w:color w:val="auto"/>
              </w:rPr>
            </w:pPr>
            <w:r>
              <w:rPr>
                <w:rFonts w:ascii="Arial" w:cs="Arial" w:eastAsia="Arial" w:hAnsi="Arial"/>
                <w:sz w:val="16"/>
                <w:szCs w:val="16"/>
                <w:color w:val="auto"/>
                <w:w w:val="99"/>
              </w:rPr>
              <w:t>4,170</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Currency transaction losses/(gains), included within other (income)/expense, net were primarily the result of both realized and unrealized losses/(gains) on intercompany loans. In addition, changes in the fair value of derivative instruments included gains driven by currency rate movements, most notably the Brazilian Real and British Pound Sterling.</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Income Taxes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income tax rate for the three and nine months ended September 30, 2026 and 2025, is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20" w:type="dxa"/>
            <w:vAlign w:val="bottom"/>
            <w:tcBorders>
              <w:top w:val="single" w:sz="8" w:color="auto"/>
            </w:tcBorders>
          </w:tcPr>
          <w:p>
            <w:pPr>
              <w:spacing w:after="0"/>
              <w:rPr>
                <w:sz w:val="18"/>
                <w:szCs w:val="18"/>
                <w:color w:val="auto"/>
              </w:rPr>
            </w:pPr>
          </w:p>
        </w:tc>
        <w:tc>
          <w:tcPr>
            <w:tcW w:w="3300" w:type="dxa"/>
            <w:vAlign w:val="bottom"/>
            <w:tcBorders>
              <w:top w:val="single" w:sz="8" w:color="auto"/>
              <w:bottom w:val="single" w:sz="8" w:color="auto"/>
            </w:tcBorders>
            <w:gridSpan w:val="3"/>
          </w:tcPr>
          <w:p>
            <w:pPr>
              <w:jc w:val="right"/>
              <w:ind w:right="444"/>
              <w:spacing w:after="0"/>
              <w:rPr>
                <w:sz w:val="20"/>
                <w:szCs w:val="20"/>
                <w:color w:val="auto"/>
              </w:rPr>
            </w:pPr>
            <w:r>
              <w:rPr>
                <w:rFonts w:ascii="Arial" w:cs="Arial" w:eastAsia="Arial" w:hAnsi="Arial"/>
                <w:sz w:val="14"/>
                <w:szCs w:val="14"/>
                <w:b w:val="1"/>
                <w:bCs w:val="1"/>
                <w:color w:val="auto"/>
              </w:rPr>
              <w:t>Three months ended September 30,</w:t>
            </w:r>
          </w:p>
        </w:tc>
        <w:tc>
          <w:tcPr>
            <w:tcW w:w="2920" w:type="dxa"/>
            <w:vAlign w:val="bottom"/>
            <w:tcBorders>
              <w:top w:val="single" w:sz="8" w:color="auto"/>
              <w:bottom w:val="single" w:sz="8" w:color="auto"/>
            </w:tcBorders>
            <w:gridSpan w:val="2"/>
          </w:tcPr>
          <w:p>
            <w:pPr>
              <w:jc w:val="right"/>
              <w:ind w:right="304"/>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6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2026</w:t>
            </w:r>
          </w:p>
        </w:tc>
        <w:tc>
          <w:tcPr>
            <w:tcW w:w="8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724"/>
              <w:spacing w:after="0"/>
              <w:rPr>
                <w:sz w:val="20"/>
                <w:szCs w:val="20"/>
                <w:color w:val="auto"/>
              </w:rPr>
            </w:pPr>
            <w:r>
              <w:rPr>
                <w:rFonts w:ascii="Arial" w:cs="Arial" w:eastAsia="Arial" w:hAnsi="Arial"/>
                <w:sz w:val="14"/>
                <w:szCs w:val="14"/>
                <w:b w:val="1"/>
                <w:bCs w:val="1"/>
                <w:color w:val="auto"/>
              </w:rPr>
              <w:t>2025</w:t>
            </w:r>
          </w:p>
        </w:tc>
        <w:tc>
          <w:tcPr>
            <w:tcW w:w="1660" w:type="dxa"/>
            <w:vAlign w:val="bottom"/>
            <w:tcBorders>
              <w:bottom w:val="single" w:sz="8" w:color="auto"/>
            </w:tcBorders>
          </w:tcPr>
          <w:p>
            <w:pPr>
              <w:jc w:val="right"/>
              <w:ind w:right="825"/>
              <w:spacing w:after="0"/>
              <w:rPr>
                <w:sz w:val="20"/>
                <w:szCs w:val="20"/>
                <w:color w:val="auto"/>
              </w:rPr>
            </w:pPr>
            <w:r>
              <w:rPr>
                <w:rFonts w:ascii="Arial" w:cs="Arial" w:eastAsia="Arial" w:hAnsi="Arial"/>
                <w:sz w:val="14"/>
                <w:szCs w:val="14"/>
                <w:b w:val="1"/>
                <w:bCs w:val="1"/>
                <w:color w:val="auto"/>
              </w:rPr>
              <w:t>2026</w:t>
            </w:r>
          </w:p>
        </w:tc>
        <w:tc>
          <w:tcPr>
            <w:tcW w:w="126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2025</w:t>
            </w:r>
          </w:p>
        </w:tc>
      </w:tr>
      <w:tr>
        <w:trPr>
          <w:trHeight w:val="211"/>
        </w:trPr>
        <w:tc>
          <w:tcPr>
            <w:tcW w:w="6020" w:type="dxa"/>
            <w:vAlign w:val="bottom"/>
            <w:tcBorders>
              <w:bottom w:val="single" w:sz="8" w:color="auto"/>
            </w:tcBorders>
            <w:gridSpan w:val="2"/>
            <w:shd w:val="clear" w:color="auto" w:fill="CCEEFF"/>
          </w:tcPr>
          <w:p>
            <w:pPr>
              <w:jc w:val="right"/>
              <w:ind w:right="4148"/>
              <w:spacing w:after="0"/>
              <w:rPr>
                <w:sz w:val="20"/>
                <w:szCs w:val="20"/>
                <w:color w:val="auto"/>
              </w:rPr>
            </w:pPr>
            <w:r>
              <w:rPr>
                <w:rFonts w:ascii="Arial" w:cs="Arial" w:eastAsia="Arial" w:hAnsi="Arial"/>
                <w:sz w:val="16"/>
                <w:szCs w:val="16"/>
                <w:color w:val="auto"/>
              </w:rPr>
              <w:t>Effective income tax rate</w:t>
            </w:r>
          </w:p>
        </w:tc>
        <w:tc>
          <w:tcPr>
            <w:tcW w:w="8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24.9 %</w:t>
            </w:r>
          </w:p>
        </w:tc>
        <w:tc>
          <w:tcPr>
            <w:tcW w:w="14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6"/>
                <w:szCs w:val="16"/>
                <w:color w:val="auto"/>
              </w:rPr>
              <w:t>20.0 %</w:t>
            </w:r>
          </w:p>
        </w:tc>
        <w:tc>
          <w:tcPr>
            <w:tcW w:w="1660" w:type="dxa"/>
            <w:vAlign w:val="bottom"/>
            <w:tcBorders>
              <w:bottom w:val="single" w:sz="8" w:color="auto"/>
            </w:tcBorders>
            <w:shd w:val="clear" w:color="auto" w:fill="CCEEFF"/>
          </w:tcPr>
          <w:p>
            <w:pPr>
              <w:jc w:val="right"/>
              <w:ind w:right="245"/>
              <w:spacing w:after="0"/>
              <w:rPr>
                <w:sz w:val="20"/>
                <w:szCs w:val="20"/>
                <w:color w:val="auto"/>
              </w:rPr>
            </w:pPr>
            <w:r>
              <w:rPr>
                <w:rFonts w:ascii="Arial" w:cs="Arial" w:eastAsia="Arial" w:hAnsi="Arial"/>
                <w:sz w:val="16"/>
                <w:szCs w:val="16"/>
                <w:b w:val="1"/>
                <w:bCs w:val="1"/>
                <w:color w:val="auto"/>
              </w:rPr>
              <w:t>28.5 %</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16.4 %</w:t>
            </w:r>
          </w:p>
        </w:tc>
      </w:tr>
    </w:tbl>
    <w:p>
      <w:pPr>
        <w:spacing w:after="0" w:line="31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Income tax expense for the quarter was computed in accordance with ASC 740-270, Income Taxes – Interim Reporting. Under this method, loss jurisdictions subject to valuation allowances cannot recognize a tax benefit with regard to their generated losses and are excluded from the annual effective tax rate calculation as their taxes will be recorded discretely in each quarter.</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2026 estimated annual effective tax rate primarily reflects the 21% federal tax rate, the impact of state and local taxation, the impact of taxation upon foreign operations, and forecasted permanent differences. Our actual effective tax rates were 28.5% and 16.4% for the nine months ended September 30, 2026 and 2025, respectively.</w:t>
      </w:r>
    </w:p>
    <w:p>
      <w:pPr>
        <w:spacing w:after="0" w:line="19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effective tax rate for the nine months ended September 30, 2026 was higher than the effective tax rate for the nine months ended September 30, 2025, primarily due to the Company being in a loss position in prior year. Discrete tax items increased the effective tax rate by 0.2% and 0.5% for the three and nine months ended September 30, 2026, respectively, compared to increases of 0.6% and 2.7% for the three and nine months ended September 30, 2025, respectively.</w:t>
      </w:r>
    </w:p>
    <w:p>
      <w:pPr>
        <w:spacing w:after="0" w:line="203"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Company is subject to audit in the U.S. and various foreign jurisdictions. Our open tax years for major jurisdictions generally range from 2020-2025. We believe appropriate provisions for all outstanding tax issues have been made for all jurisdictions and all open years. Audit outcomes and the timing of audit settlements are subject to significant uncertainty.</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Earnings Per Share</w:t>
      </w:r>
    </w:p>
    <w:p>
      <w:pPr>
        <w:spacing w:after="0" w:line="11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amounts used in computing earnings per share and the weighted average number of shares of potentially dilutive securities are as follows: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9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840" w:type="dxa"/>
            <w:vAlign w:val="bottom"/>
            <w:tcBorders>
              <w:top w:val="single" w:sz="8" w:color="auto"/>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Borders>
              <w:top w:val="single" w:sz="8" w:color="auto"/>
              <w:bottom w:val="single" w:sz="8" w:color="auto"/>
            </w:tcBorders>
          </w:tcPr>
          <w:p>
            <w:pPr>
              <w:spacing w:after="0"/>
              <w:rPr>
                <w:sz w:val="18"/>
                <w:szCs w:val="18"/>
                <w:color w:val="auto"/>
              </w:rPr>
            </w:pPr>
          </w:p>
        </w:tc>
        <w:tc>
          <w:tcPr>
            <w:tcW w:w="2980" w:type="dxa"/>
            <w:vAlign w:val="bottom"/>
            <w:tcBorders>
              <w:top w:val="single" w:sz="8" w:color="auto"/>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11"/>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earnings per share)</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2026</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2025</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2026</w:t>
            </w: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10"/>
        </w:trPr>
        <w:tc>
          <w:tcPr>
            <w:tcW w:w="4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the Company</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41,697</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(97,760)</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74,392</w:t>
            </w:r>
          </w:p>
        </w:tc>
        <w:tc>
          <w:tcPr>
            <w:tcW w:w="4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(71,222)</w:t>
            </w:r>
          </w:p>
        </w:tc>
        <w:tc>
          <w:tcPr>
            <w:tcW w:w="0" w:type="dxa"/>
            <w:vAlign w:val="bottom"/>
          </w:tcPr>
          <w:p>
            <w:pPr>
              <w:spacing w:after="0"/>
              <w:rPr>
                <w:sz w:val="1"/>
                <w:szCs w:val="1"/>
                <w:color w:val="auto"/>
              </w:rPr>
            </w:pPr>
          </w:p>
        </w:tc>
      </w:tr>
      <w:tr>
        <w:trPr>
          <w:trHeight w:val="237"/>
        </w:trPr>
        <w:tc>
          <w:tcPr>
            <w:tcW w:w="4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number of shares: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920" w:type="dxa"/>
            <w:vAlign w:val="bottom"/>
          </w:tcPr>
          <w:p>
            <w:pPr>
              <w:ind w:left="140"/>
              <w:spacing w:after="0"/>
              <w:rPr>
                <w:sz w:val="20"/>
                <w:szCs w:val="20"/>
                <w:color w:val="auto"/>
              </w:rPr>
            </w:pPr>
            <w:r>
              <w:rPr>
                <w:rFonts w:ascii="Arial" w:cs="Arial" w:eastAsia="Arial" w:hAnsi="Arial"/>
                <w:sz w:val="16"/>
                <w:szCs w:val="16"/>
                <w:color w:val="auto"/>
              </w:rPr>
              <w:t>Weighted average number of shares used in calculating basic net</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920" w:type="dxa"/>
            <w:vAlign w:val="bottom"/>
          </w:tcPr>
          <w:p>
            <w:pPr>
              <w:ind w:left="140"/>
              <w:spacing w:after="0"/>
              <w:rPr>
                <w:sz w:val="20"/>
                <w:szCs w:val="20"/>
                <w:color w:val="auto"/>
              </w:rPr>
            </w:pPr>
            <w:r>
              <w:rPr>
                <w:rFonts w:ascii="Arial" w:cs="Arial" w:eastAsia="Arial" w:hAnsi="Arial"/>
                <w:sz w:val="16"/>
                <w:szCs w:val="16"/>
                <w:color w:val="auto"/>
              </w:rPr>
              <w:t>income per share</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28,377</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29,012</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28,353</w:t>
            </w: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29,914</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Effect of dilutive stock-based compensation plans: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9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Restricted stock units and multi-year awards</w:t>
            </w: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219</w:t>
            </w:r>
          </w:p>
        </w:tc>
        <w:tc>
          <w:tcPr>
            <w:tcW w:w="3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217</w:t>
            </w:r>
          </w:p>
        </w:tc>
        <w:tc>
          <w:tcPr>
            <w:tcW w:w="4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5"/>
        </w:trPr>
        <w:tc>
          <w:tcPr>
            <w:tcW w:w="4920" w:type="dxa"/>
            <w:vAlign w:val="bottom"/>
            <w:shd w:val="clear" w:color="auto" w:fill="CCEEFF"/>
          </w:tcPr>
          <w:p>
            <w:pPr>
              <w:ind w:left="140"/>
              <w:spacing w:after="0" w:line="155" w:lineRule="exact"/>
              <w:rPr>
                <w:sz w:val="20"/>
                <w:szCs w:val="20"/>
                <w:color w:val="auto"/>
              </w:rPr>
            </w:pPr>
            <w:r>
              <w:rPr>
                <w:rFonts w:ascii="Arial" w:cs="Arial" w:eastAsia="Arial" w:hAnsi="Arial"/>
                <w:sz w:val="16"/>
                <w:szCs w:val="16"/>
                <w:color w:val="auto"/>
              </w:rPr>
              <w:t>Weighted average number of shares used in calculating diluted</w:t>
            </w:r>
          </w:p>
        </w:tc>
        <w:tc>
          <w:tcPr>
            <w:tcW w:w="22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28,596</w:t>
            </w:r>
          </w:p>
        </w:tc>
        <w:tc>
          <w:tcPr>
            <w:tcW w:w="38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29,012</w:t>
            </w:r>
          </w:p>
        </w:tc>
        <w:tc>
          <w:tcPr>
            <w:tcW w:w="280" w:type="dxa"/>
            <w:vAlign w:val="bottom"/>
            <w:shd w:val="clear" w:color="auto" w:fill="CCEEFF"/>
          </w:tcPr>
          <w:p>
            <w:pPr>
              <w:spacing w:after="0"/>
              <w:rPr>
                <w:sz w:val="13"/>
                <w:szCs w:val="13"/>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28,570</w:t>
            </w:r>
          </w:p>
        </w:tc>
        <w:tc>
          <w:tcPr>
            <w:tcW w:w="40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29,914</w:t>
            </w:r>
          </w:p>
        </w:tc>
        <w:tc>
          <w:tcPr>
            <w:tcW w:w="0" w:type="dxa"/>
            <w:vAlign w:val="bottom"/>
          </w:tcPr>
          <w:p>
            <w:pPr>
              <w:spacing w:after="0"/>
              <w:rPr>
                <w:sz w:val="1"/>
                <w:szCs w:val="1"/>
                <w:color w:val="auto"/>
              </w:rPr>
            </w:pPr>
          </w:p>
        </w:tc>
      </w:tr>
      <w:tr>
        <w:trPr>
          <w:trHeight w:val="216"/>
        </w:trPr>
        <w:tc>
          <w:tcPr>
            <w:tcW w:w="49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net income per share</w:t>
            </w: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attributable to the Company per share:</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40"/>
              <w:spacing w:after="0"/>
              <w:rPr>
                <w:sz w:val="20"/>
                <w:szCs w:val="20"/>
                <w:color w:val="auto"/>
              </w:rPr>
            </w:pPr>
            <w:r>
              <w:rPr>
                <w:rFonts w:ascii="Arial" w:cs="Arial" w:eastAsia="Arial" w:hAnsi="Arial"/>
                <w:sz w:val="16"/>
                <w:szCs w:val="16"/>
                <w:color w:val="auto"/>
              </w:rPr>
              <w:t>Basic</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1.47</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(3.37)</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2.62</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216"/>
        </w:trPr>
        <w:tc>
          <w:tcPr>
            <w:tcW w:w="49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1.46</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2.60</w:t>
            </w:r>
          </w:p>
        </w:tc>
        <w:tc>
          <w:tcPr>
            <w:tcW w:w="4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Accumulated Other Comprehensive Income ("AOCI")</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changes in the components of AOCI for the period from December 31, 2025 to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vMerge w:val="restart"/>
          </w:tcPr>
          <w:p>
            <w:pPr>
              <w:jc w:val="center"/>
              <w:ind w:right="83"/>
              <w:spacing w:after="0"/>
              <w:rPr>
                <w:sz w:val="20"/>
                <w:szCs w:val="20"/>
                <w:color w:val="auto"/>
              </w:rPr>
            </w:pPr>
            <w:r>
              <w:rPr>
                <w:rFonts w:ascii="Arial" w:cs="Arial" w:eastAsia="Arial" w:hAnsi="Arial"/>
                <w:sz w:val="14"/>
                <w:szCs w:val="14"/>
                <w:b w:val="1"/>
                <w:bCs w:val="1"/>
                <w:color w:val="auto"/>
              </w:rPr>
              <w:t>Pension and</w:t>
            </w: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rPr>
              <w:t>Total Accumulated</w:t>
            </w:r>
          </w:p>
        </w:tc>
        <w:tc>
          <w:tcPr>
            <w:tcW w:w="0" w:type="dxa"/>
            <w:vAlign w:val="bottom"/>
          </w:tcPr>
          <w:p>
            <w:pPr>
              <w:spacing w:after="0"/>
              <w:rPr>
                <w:sz w:val="1"/>
                <w:szCs w:val="1"/>
                <w:color w:val="auto"/>
              </w:rPr>
            </w:pPr>
          </w:p>
        </w:tc>
      </w:tr>
      <w:tr>
        <w:trPr>
          <w:trHeight w:val="77"/>
        </w:trPr>
        <w:tc>
          <w:tcPr>
            <w:tcW w:w="49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vMerge w:val="restart"/>
          </w:tcPr>
          <w:p>
            <w:pPr>
              <w:jc w:val="center"/>
              <w:ind w:right="102"/>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99"/>
        </w:trPr>
        <w:tc>
          <w:tcPr>
            <w:tcW w:w="49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vMerge w:val="restart"/>
          </w:tcPr>
          <w:p>
            <w:pPr>
              <w:jc w:val="center"/>
              <w:ind w:right="83"/>
              <w:spacing w:after="0" w:line="149" w:lineRule="exact"/>
              <w:rPr>
                <w:sz w:val="20"/>
                <w:szCs w:val="20"/>
                <w:color w:val="auto"/>
              </w:rPr>
            </w:pPr>
            <w:r>
              <w:rPr>
                <w:rFonts w:ascii="Arial" w:cs="Arial" w:eastAsia="Arial" w:hAnsi="Arial"/>
                <w:sz w:val="14"/>
                <w:szCs w:val="14"/>
                <w:b w:val="1"/>
                <w:bCs w:val="1"/>
                <w:color w:val="auto"/>
              </w:rPr>
              <w:t>postretirement</w:t>
            </w:r>
          </w:p>
        </w:tc>
        <w:tc>
          <w:tcPr>
            <w:tcW w:w="240" w:type="dxa"/>
            <w:vAlign w:val="bottom"/>
          </w:tcPr>
          <w:p>
            <w:pPr>
              <w:spacing w:after="0"/>
              <w:rPr>
                <w:sz w:val="8"/>
                <w:szCs w:val="8"/>
                <w:color w:val="auto"/>
              </w:rPr>
            </w:pPr>
          </w:p>
        </w:tc>
        <w:tc>
          <w:tcPr>
            <w:tcW w:w="1260" w:type="dxa"/>
            <w:vAlign w:val="bottom"/>
            <w:vMerge w:val="restart"/>
          </w:tcPr>
          <w:p>
            <w:pPr>
              <w:jc w:val="center"/>
              <w:ind w:right="162"/>
              <w:spacing w:after="0" w:line="149" w:lineRule="exact"/>
              <w:rPr>
                <w:sz w:val="20"/>
                <w:szCs w:val="20"/>
                <w:color w:val="auto"/>
              </w:rPr>
            </w:pPr>
            <w:r>
              <w:rPr>
                <w:rFonts w:ascii="Arial" w:cs="Arial" w:eastAsia="Arial" w:hAnsi="Arial"/>
                <w:sz w:val="14"/>
                <w:szCs w:val="14"/>
                <w:b w:val="1"/>
                <w:bCs w:val="1"/>
                <w:color w:val="auto"/>
              </w:rPr>
              <w:t>Derivative</w:t>
            </w:r>
          </w:p>
        </w:tc>
        <w:tc>
          <w:tcPr>
            <w:tcW w:w="16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0"/>
        </w:trPr>
        <w:tc>
          <w:tcPr>
            <w:tcW w:w="49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60" w:type="dxa"/>
            <w:vAlign w:val="bottom"/>
            <w:vMerge w:val="restart"/>
          </w:tcPr>
          <w:p>
            <w:pPr>
              <w:jc w:val="right"/>
              <w:ind w:right="281"/>
              <w:spacing w:after="0"/>
              <w:rPr>
                <w:sz w:val="20"/>
                <w:szCs w:val="20"/>
                <w:color w:val="auto"/>
              </w:rPr>
            </w:pPr>
            <w:r>
              <w:rPr>
                <w:rFonts w:ascii="Arial" w:cs="Arial" w:eastAsia="Arial" w:hAnsi="Arial"/>
                <w:sz w:val="14"/>
                <w:szCs w:val="14"/>
                <w:b w:val="1"/>
                <w:bCs w:val="1"/>
                <w:color w:val="auto"/>
              </w:rPr>
              <w:t>Translation</w:t>
            </w:r>
          </w:p>
        </w:tc>
        <w:tc>
          <w:tcPr>
            <w:tcW w:w="180" w:type="dxa"/>
            <w:vAlign w:val="bottom"/>
          </w:tcPr>
          <w:p>
            <w:pPr>
              <w:spacing w:after="0"/>
              <w:rPr>
                <w:sz w:val="4"/>
                <w:szCs w:val="4"/>
                <w:color w:val="auto"/>
              </w:rPr>
            </w:pPr>
          </w:p>
        </w:tc>
        <w:tc>
          <w:tcPr>
            <w:tcW w:w="13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vMerge w:val="restart"/>
          </w:tcPr>
          <w:p>
            <w:pPr>
              <w:jc w:val="center"/>
              <w:ind w:right="82"/>
              <w:spacing w:after="0"/>
              <w:rPr>
                <w:sz w:val="20"/>
                <w:szCs w:val="20"/>
                <w:color w:val="auto"/>
              </w:rPr>
            </w:pPr>
            <w:r>
              <w:rPr>
                <w:rFonts w:ascii="Arial" w:cs="Arial" w:eastAsia="Arial" w:hAnsi="Arial"/>
                <w:sz w:val="14"/>
                <w:szCs w:val="14"/>
                <w:b w:val="1"/>
                <w:bCs w:val="1"/>
                <w:color w:val="auto"/>
              </w:rPr>
              <w:t>Comprehensive</w:t>
            </w:r>
          </w:p>
        </w:tc>
        <w:tc>
          <w:tcPr>
            <w:tcW w:w="0" w:type="dxa"/>
            <w:vAlign w:val="bottom"/>
          </w:tcPr>
          <w:p>
            <w:pPr>
              <w:spacing w:after="0"/>
              <w:rPr>
                <w:sz w:val="1"/>
                <w:szCs w:val="1"/>
                <w:color w:val="auto"/>
              </w:rPr>
            </w:pPr>
          </w:p>
        </w:tc>
      </w:tr>
      <w:tr>
        <w:trPr>
          <w:trHeight w:val="149"/>
        </w:trPr>
        <w:tc>
          <w:tcPr>
            <w:tcW w:w="4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rPr>
              <w:t>liability</w:t>
            </w:r>
          </w:p>
        </w:tc>
        <w:tc>
          <w:tcPr>
            <w:tcW w:w="240" w:type="dxa"/>
            <w:vAlign w:val="bottom"/>
          </w:tcPr>
          <w:p>
            <w:pPr>
              <w:spacing w:after="0"/>
              <w:rPr>
                <w:sz w:val="12"/>
                <w:szCs w:val="12"/>
                <w:color w:val="auto"/>
              </w:rPr>
            </w:pPr>
          </w:p>
        </w:tc>
        <w:tc>
          <w:tcPr>
            <w:tcW w:w="126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rPr>
              <w:t>valuation</w:t>
            </w:r>
          </w:p>
        </w:tc>
        <w:tc>
          <w:tcPr>
            <w:tcW w:w="16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90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adjustments</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adjustments</w:t>
            </w: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rPr>
              <w:t>adjustment</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Income/(Loss)</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2025</w:t>
            </w:r>
          </w:p>
        </w:tc>
        <w:tc>
          <w:tcPr>
            <w:tcW w:w="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(119,008)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(23,911)</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(143,538)</w:t>
            </w:r>
          </w:p>
        </w:tc>
        <w:tc>
          <w:tcPr>
            <w:tcW w:w="0" w:type="dxa"/>
            <w:vAlign w:val="bottom"/>
          </w:tcPr>
          <w:p>
            <w:pPr>
              <w:spacing w:after="0"/>
              <w:rPr>
                <w:sz w:val="1"/>
                <w:szCs w:val="1"/>
                <w:color w:val="auto"/>
              </w:rPr>
            </w:pPr>
          </w:p>
        </w:tc>
      </w:tr>
      <w:tr>
        <w:trPr>
          <w:trHeight w:val="235"/>
        </w:trPr>
        <w:tc>
          <w:tcPr>
            <w:tcW w:w="4900" w:type="dxa"/>
            <w:vAlign w:val="bottom"/>
          </w:tcPr>
          <w:p>
            <w:pPr>
              <w:ind w:left="20"/>
              <w:spacing w:after="0"/>
              <w:rPr>
                <w:sz w:val="20"/>
                <w:szCs w:val="20"/>
                <w:color w:val="auto"/>
              </w:rPr>
            </w:pPr>
            <w:r>
              <w:rPr>
                <w:rFonts w:ascii="Arial" w:cs="Arial" w:eastAsia="Arial" w:hAnsi="Arial"/>
                <w:sz w:val="16"/>
                <w:szCs w:val="16"/>
                <w:color w:val="auto"/>
              </w:rPr>
              <w:t>Foreign currency translation and other adjustments</w:t>
            </w:r>
          </w:p>
        </w:tc>
        <w:tc>
          <w:tcPr>
            <w:tcW w:w="6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(6,365)</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375</w:t>
            </w:r>
          </w:p>
        </w:tc>
        <w:tc>
          <w:tcPr>
            <w:tcW w:w="240" w:type="dxa"/>
            <w:vAlign w:val="bottom"/>
          </w:tcPr>
          <w:p>
            <w:pPr>
              <w:spacing w:after="0"/>
              <w:rPr>
                <w:sz w:val="20"/>
                <w:szCs w:val="20"/>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4,246</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(1,744)</w:t>
            </w:r>
          </w:p>
        </w:tc>
        <w:tc>
          <w:tcPr>
            <w:tcW w:w="0" w:type="dxa"/>
            <w:vAlign w:val="bottom"/>
          </w:tcPr>
          <w:p>
            <w:pPr>
              <w:spacing w:after="0"/>
              <w:rPr>
                <w:sz w:val="1"/>
                <w:szCs w:val="1"/>
                <w:color w:val="auto"/>
              </w:rPr>
            </w:pPr>
          </w:p>
        </w:tc>
      </w:tr>
      <w:tr>
        <w:trPr>
          <w:trHeight w:val="163"/>
        </w:trPr>
        <w:tc>
          <w:tcPr>
            <w:tcW w:w="490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Interest (expense)/income related to swaps reclassified to the</w:t>
            </w:r>
          </w:p>
        </w:tc>
        <w:tc>
          <w:tcPr>
            <w:tcW w:w="6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6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Consolidated Statements of Income/(Loss), net of tax</w:t>
            </w:r>
          </w:p>
        </w:tc>
        <w:tc>
          <w:tcPr>
            <w:tcW w:w="62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900" w:type="dxa"/>
            <w:vAlign w:val="bottom"/>
          </w:tcPr>
          <w:p>
            <w:pPr>
              <w:ind w:left="20"/>
              <w:spacing w:after="0"/>
              <w:rPr>
                <w:sz w:val="20"/>
                <w:szCs w:val="20"/>
                <w:color w:val="auto"/>
              </w:rPr>
            </w:pPr>
            <w:r>
              <w:rPr>
                <w:rFonts w:ascii="Arial" w:cs="Arial" w:eastAsia="Arial" w:hAnsi="Arial"/>
                <w:sz w:val="16"/>
                <w:szCs w:val="16"/>
                <w:color w:val="auto"/>
              </w:rPr>
              <w:t>Pension and postretirement liability adjustments reclassified to</w:t>
            </w:r>
          </w:p>
        </w:tc>
        <w:tc>
          <w:tcPr>
            <w:tcW w:w="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Consolidated Statements of Income/(Loss), net of tax</w:t>
            </w:r>
          </w:p>
        </w:tc>
        <w:tc>
          <w:tcPr>
            <w:tcW w:w="6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698</w:t>
            </w: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698</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current period other comprehensive income/(loss)</w:t>
            </w:r>
          </w:p>
        </w:tc>
        <w:tc>
          <w:tcPr>
            <w:tcW w:w="6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(6,365)</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1,073</w:t>
            </w: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4,006</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(1,286)</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September 30, 2026</w:t>
            </w:r>
          </w:p>
        </w:tc>
        <w:tc>
          <w:tcPr>
            <w:tcW w:w="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(125,373)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(22,838)</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3,387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(144,824)</w:t>
            </w: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changes in the components of AOCI for the period from December 31, 2024 to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center"/>
              <w:ind w:right="82"/>
              <w:spacing w:after="0"/>
              <w:rPr>
                <w:sz w:val="20"/>
                <w:szCs w:val="20"/>
                <w:color w:val="auto"/>
              </w:rPr>
            </w:pPr>
            <w:r>
              <w:rPr>
                <w:rFonts w:ascii="Arial" w:cs="Arial" w:eastAsia="Arial" w:hAnsi="Arial"/>
                <w:sz w:val="14"/>
                <w:szCs w:val="14"/>
                <w:b w:val="1"/>
                <w:bCs w:val="1"/>
                <w:color w:val="auto"/>
              </w:rPr>
              <w:t>Pension and</w:t>
            </w: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rPr>
              <w:t>Total Accumulated</w:t>
            </w:r>
          </w:p>
        </w:tc>
        <w:tc>
          <w:tcPr>
            <w:tcW w:w="0" w:type="dxa"/>
            <w:vAlign w:val="bottom"/>
          </w:tcPr>
          <w:p>
            <w:pPr>
              <w:spacing w:after="0"/>
              <w:rPr>
                <w:sz w:val="1"/>
                <w:szCs w:val="1"/>
                <w:color w:val="auto"/>
              </w:rPr>
            </w:pPr>
          </w:p>
        </w:tc>
      </w:tr>
      <w:tr>
        <w:trPr>
          <w:trHeight w:val="176"/>
        </w:trPr>
        <w:tc>
          <w:tcPr>
            <w:tcW w:w="49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60" w:type="dxa"/>
            <w:vAlign w:val="bottom"/>
            <w:vMerge w:val="restart"/>
          </w:tcPr>
          <w:p>
            <w:pPr>
              <w:jc w:val="right"/>
              <w:ind w:right="281"/>
              <w:spacing w:after="0"/>
              <w:rPr>
                <w:sz w:val="20"/>
                <w:szCs w:val="20"/>
                <w:color w:val="auto"/>
              </w:rPr>
            </w:pPr>
            <w:r>
              <w:rPr>
                <w:rFonts w:ascii="Arial" w:cs="Arial" w:eastAsia="Arial" w:hAnsi="Arial"/>
                <w:sz w:val="14"/>
                <w:szCs w:val="14"/>
                <w:b w:val="1"/>
                <w:bCs w:val="1"/>
                <w:color w:val="auto"/>
              </w:rPr>
              <w:t>Translation</w:t>
            </w:r>
          </w:p>
        </w:tc>
        <w:tc>
          <w:tcPr>
            <w:tcW w:w="180" w:type="dxa"/>
            <w:vAlign w:val="bottom"/>
          </w:tcPr>
          <w:p>
            <w:pPr>
              <w:spacing w:after="0"/>
              <w:rPr>
                <w:sz w:val="15"/>
                <w:szCs w:val="15"/>
                <w:color w:val="auto"/>
              </w:rPr>
            </w:pPr>
          </w:p>
        </w:tc>
        <w:tc>
          <w:tcPr>
            <w:tcW w:w="1300" w:type="dxa"/>
            <w:vAlign w:val="bottom"/>
          </w:tcPr>
          <w:p>
            <w:pPr>
              <w:jc w:val="center"/>
              <w:ind w:right="82"/>
              <w:spacing w:after="0"/>
              <w:rPr>
                <w:sz w:val="20"/>
                <w:szCs w:val="20"/>
                <w:color w:val="auto"/>
              </w:rPr>
            </w:pPr>
            <w:r>
              <w:rPr>
                <w:rFonts w:ascii="Arial" w:cs="Arial" w:eastAsia="Arial" w:hAnsi="Arial"/>
                <w:sz w:val="14"/>
                <w:szCs w:val="14"/>
                <w:b w:val="1"/>
                <w:bCs w:val="1"/>
                <w:color w:val="auto"/>
              </w:rPr>
              <w:t>postretirement</w:t>
            </w:r>
          </w:p>
        </w:tc>
        <w:tc>
          <w:tcPr>
            <w:tcW w:w="240" w:type="dxa"/>
            <w:vAlign w:val="bottom"/>
          </w:tcPr>
          <w:p>
            <w:pPr>
              <w:spacing w:after="0"/>
              <w:rPr>
                <w:sz w:val="15"/>
                <w:szCs w:val="15"/>
                <w:color w:val="auto"/>
              </w:rPr>
            </w:pPr>
          </w:p>
        </w:tc>
        <w:tc>
          <w:tcPr>
            <w:tcW w:w="1260" w:type="dxa"/>
            <w:vAlign w:val="bottom"/>
          </w:tcPr>
          <w:p>
            <w:pPr>
              <w:jc w:val="center"/>
              <w:ind w:right="162"/>
              <w:spacing w:after="0"/>
              <w:rPr>
                <w:sz w:val="20"/>
                <w:szCs w:val="20"/>
                <w:color w:val="auto"/>
              </w:rPr>
            </w:pPr>
            <w:r>
              <w:rPr>
                <w:rFonts w:ascii="Arial" w:cs="Arial" w:eastAsia="Arial" w:hAnsi="Arial"/>
                <w:sz w:val="14"/>
                <w:szCs w:val="14"/>
                <w:b w:val="1"/>
                <w:bCs w:val="1"/>
                <w:color w:val="auto"/>
              </w:rPr>
              <w:t>Derivative</w:t>
            </w:r>
          </w:p>
        </w:tc>
        <w:tc>
          <w:tcPr>
            <w:tcW w:w="160" w:type="dxa"/>
            <w:vAlign w:val="bottom"/>
          </w:tcPr>
          <w:p>
            <w:pPr>
              <w:spacing w:after="0"/>
              <w:rPr>
                <w:sz w:val="15"/>
                <w:szCs w:val="15"/>
                <w:color w:val="auto"/>
              </w:rPr>
            </w:pPr>
          </w:p>
        </w:tc>
        <w:tc>
          <w:tcPr>
            <w:tcW w:w="1320" w:type="dxa"/>
            <w:vAlign w:val="bottom"/>
          </w:tcPr>
          <w:p>
            <w:pPr>
              <w:jc w:val="center"/>
              <w:ind w:right="102"/>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62"/>
        </w:trPr>
        <w:tc>
          <w:tcPr>
            <w:tcW w:w="4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82"/>
              <w:spacing w:after="0"/>
              <w:rPr>
                <w:sz w:val="20"/>
                <w:szCs w:val="20"/>
                <w:color w:val="auto"/>
              </w:rPr>
            </w:pPr>
            <w:r>
              <w:rPr>
                <w:rFonts w:ascii="Arial" w:cs="Arial" w:eastAsia="Arial" w:hAnsi="Arial"/>
                <w:sz w:val="14"/>
                <w:szCs w:val="14"/>
                <w:b w:val="1"/>
                <w:bCs w:val="1"/>
                <w:color w:val="auto"/>
              </w:rPr>
              <w:t>liability</w:t>
            </w:r>
          </w:p>
        </w:tc>
        <w:tc>
          <w:tcPr>
            <w:tcW w:w="240" w:type="dxa"/>
            <w:vAlign w:val="bottom"/>
          </w:tcPr>
          <w:p>
            <w:pPr>
              <w:spacing w:after="0"/>
              <w:rPr>
                <w:sz w:val="14"/>
                <w:szCs w:val="14"/>
                <w:color w:val="auto"/>
              </w:rPr>
            </w:pPr>
          </w:p>
        </w:tc>
        <w:tc>
          <w:tcPr>
            <w:tcW w:w="1260" w:type="dxa"/>
            <w:vAlign w:val="bottom"/>
          </w:tcPr>
          <w:p>
            <w:pPr>
              <w:jc w:val="center"/>
              <w:ind w:right="162"/>
              <w:spacing w:after="0"/>
              <w:rPr>
                <w:sz w:val="20"/>
                <w:szCs w:val="20"/>
                <w:color w:val="auto"/>
              </w:rPr>
            </w:pPr>
            <w:r>
              <w:rPr>
                <w:rFonts w:ascii="Arial" w:cs="Arial" w:eastAsia="Arial" w:hAnsi="Arial"/>
                <w:sz w:val="14"/>
                <w:szCs w:val="14"/>
                <w:b w:val="1"/>
                <w:bCs w:val="1"/>
                <w:color w:val="auto"/>
              </w:rPr>
              <w:t>valuation</w:t>
            </w:r>
          </w:p>
        </w:tc>
        <w:tc>
          <w:tcPr>
            <w:tcW w:w="160" w:type="dxa"/>
            <w:vAlign w:val="bottom"/>
          </w:tcPr>
          <w:p>
            <w:pPr>
              <w:spacing w:after="0"/>
              <w:rPr>
                <w:sz w:val="14"/>
                <w:szCs w:val="14"/>
                <w:color w:val="auto"/>
              </w:rPr>
            </w:pPr>
          </w:p>
        </w:tc>
        <w:tc>
          <w:tcPr>
            <w:tcW w:w="1320" w:type="dxa"/>
            <w:vAlign w:val="bottom"/>
          </w:tcPr>
          <w:p>
            <w:pPr>
              <w:jc w:val="center"/>
              <w:ind w:right="82"/>
              <w:spacing w:after="0"/>
              <w:rPr>
                <w:sz w:val="20"/>
                <w:szCs w:val="20"/>
                <w:color w:val="auto"/>
              </w:rPr>
            </w:pPr>
            <w:r>
              <w:rPr>
                <w:rFonts w:ascii="Arial" w:cs="Arial" w:eastAsia="Arial" w:hAnsi="Arial"/>
                <w:sz w:val="14"/>
                <w:szCs w:val="14"/>
                <w:b w:val="1"/>
                <w:bCs w:val="1"/>
                <w:color w:val="auto"/>
              </w:rPr>
              <w:t>Comprehensive</w:t>
            </w:r>
          </w:p>
        </w:tc>
        <w:tc>
          <w:tcPr>
            <w:tcW w:w="0" w:type="dxa"/>
            <w:vAlign w:val="bottom"/>
          </w:tcPr>
          <w:p>
            <w:pPr>
              <w:spacing w:after="0"/>
              <w:rPr>
                <w:sz w:val="1"/>
                <w:szCs w:val="1"/>
                <w:color w:val="auto"/>
              </w:rPr>
            </w:pPr>
          </w:p>
        </w:tc>
      </w:tr>
      <w:tr>
        <w:trPr>
          <w:trHeight w:val="211"/>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adjustments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adjustments</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rPr>
              <w:t>adjustment</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Income/(Loss)</w:t>
            </w:r>
          </w:p>
        </w:tc>
        <w:tc>
          <w:tcPr>
            <w:tcW w:w="0" w:type="dxa"/>
            <w:vAlign w:val="bottom"/>
          </w:tcPr>
          <w:p>
            <w:pPr>
              <w:spacing w:after="0"/>
              <w:rPr>
                <w:sz w:val="1"/>
                <w:szCs w:val="1"/>
                <w:color w:val="auto"/>
              </w:rPr>
            </w:pPr>
          </w:p>
        </w:tc>
      </w:tr>
      <w:tr>
        <w:trPr>
          <w:trHeight w:val="211"/>
        </w:trPr>
        <w:tc>
          <w:tcPr>
            <w:tcW w:w="4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2024</w:t>
            </w:r>
          </w:p>
        </w:tc>
        <w:tc>
          <w:tcPr>
            <w:tcW w:w="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(181,555)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(14,328)</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(195,989)</w:t>
            </w:r>
          </w:p>
        </w:tc>
        <w:tc>
          <w:tcPr>
            <w:tcW w:w="0" w:type="dxa"/>
            <w:vAlign w:val="bottom"/>
          </w:tcPr>
          <w:p>
            <w:pPr>
              <w:spacing w:after="0"/>
              <w:rPr>
                <w:sz w:val="1"/>
                <w:szCs w:val="1"/>
                <w:color w:val="auto"/>
              </w:rPr>
            </w:pPr>
          </w:p>
        </w:tc>
      </w:tr>
      <w:tr>
        <w:trPr>
          <w:trHeight w:val="209"/>
        </w:trPr>
        <w:tc>
          <w:tcPr>
            <w:tcW w:w="4900" w:type="dxa"/>
            <w:vAlign w:val="bottom"/>
          </w:tcPr>
          <w:p>
            <w:pPr>
              <w:ind w:left="20"/>
              <w:spacing w:after="0"/>
              <w:rPr>
                <w:sz w:val="20"/>
                <w:szCs w:val="20"/>
                <w:color w:val="auto"/>
              </w:rPr>
            </w:pPr>
            <w:r>
              <w:rPr>
                <w:rFonts w:ascii="Arial" w:cs="Arial" w:eastAsia="Arial" w:hAnsi="Arial"/>
                <w:sz w:val="16"/>
                <w:szCs w:val="16"/>
                <w:color w:val="auto"/>
              </w:rPr>
              <w:t>Foreign currency translation and other adjustments</w:t>
            </w:r>
          </w:p>
        </w:tc>
        <w:tc>
          <w:tcPr>
            <w:tcW w:w="6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58,366</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(2,418)</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(358)</w:t>
            </w:r>
          </w:p>
        </w:tc>
        <w:tc>
          <w:tcPr>
            <w:tcW w:w="160" w:type="dxa"/>
            <w:vAlign w:val="bottom"/>
          </w:tcPr>
          <w:p>
            <w:pPr>
              <w:spacing w:after="0"/>
              <w:rPr>
                <w:sz w:val="18"/>
                <w:szCs w:val="18"/>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55,590</w:t>
            </w:r>
          </w:p>
        </w:tc>
        <w:tc>
          <w:tcPr>
            <w:tcW w:w="0" w:type="dxa"/>
            <w:vAlign w:val="bottom"/>
          </w:tcPr>
          <w:p>
            <w:pPr>
              <w:spacing w:after="0"/>
              <w:rPr>
                <w:sz w:val="1"/>
                <w:szCs w:val="1"/>
                <w:color w:val="auto"/>
              </w:rPr>
            </w:pPr>
          </w:p>
        </w:tc>
      </w:tr>
      <w:tr>
        <w:trPr>
          <w:trHeight w:val="217"/>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Pension settlement expense, net of tax</w:t>
            </w:r>
          </w:p>
        </w:tc>
        <w:tc>
          <w:tcPr>
            <w:tcW w:w="6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(1,178)</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(1,178)</w:t>
            </w:r>
          </w:p>
        </w:tc>
        <w:tc>
          <w:tcPr>
            <w:tcW w:w="0" w:type="dxa"/>
            <w:vAlign w:val="bottom"/>
          </w:tcPr>
          <w:p>
            <w:pPr>
              <w:spacing w:after="0"/>
              <w:rPr>
                <w:sz w:val="1"/>
                <w:szCs w:val="1"/>
                <w:color w:val="auto"/>
              </w:rPr>
            </w:pPr>
          </w:p>
        </w:tc>
      </w:tr>
      <w:tr>
        <w:trPr>
          <w:trHeight w:val="162"/>
        </w:trPr>
        <w:tc>
          <w:tcPr>
            <w:tcW w:w="4900" w:type="dxa"/>
            <w:vAlign w:val="bottom"/>
          </w:tcPr>
          <w:p>
            <w:pPr>
              <w:ind w:left="20"/>
              <w:spacing w:after="0" w:line="162" w:lineRule="exact"/>
              <w:rPr>
                <w:sz w:val="20"/>
                <w:szCs w:val="20"/>
                <w:color w:val="auto"/>
              </w:rPr>
            </w:pPr>
            <w:r>
              <w:rPr>
                <w:rFonts w:ascii="Arial" w:cs="Arial" w:eastAsia="Arial" w:hAnsi="Arial"/>
                <w:sz w:val="16"/>
                <w:szCs w:val="16"/>
                <w:color w:val="auto"/>
              </w:rPr>
              <w:t>Interest (expense)/income related to swaps reclassified to the</w:t>
            </w:r>
          </w:p>
        </w:tc>
        <w:tc>
          <w:tcPr>
            <w:tcW w:w="62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(273)</w:t>
            </w:r>
          </w:p>
        </w:tc>
        <w:tc>
          <w:tcPr>
            <w:tcW w:w="16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215"/>
        </w:trPr>
        <w:tc>
          <w:tcPr>
            <w:tcW w:w="4900" w:type="dxa"/>
            <w:vAlign w:val="bottom"/>
          </w:tcPr>
          <w:p>
            <w:pPr>
              <w:ind w:left="20"/>
              <w:spacing w:after="0"/>
              <w:rPr>
                <w:sz w:val="20"/>
                <w:szCs w:val="20"/>
                <w:color w:val="auto"/>
              </w:rPr>
            </w:pPr>
            <w:r>
              <w:rPr>
                <w:rFonts w:ascii="Arial" w:cs="Arial" w:eastAsia="Arial" w:hAnsi="Arial"/>
                <w:sz w:val="16"/>
                <w:szCs w:val="16"/>
                <w:color w:val="auto"/>
              </w:rPr>
              <w:t>Consolidated Statements of Income/(Loss), net of tax</w:t>
            </w:r>
          </w:p>
        </w:tc>
        <w:tc>
          <w:tcPr>
            <w:tcW w:w="62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90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Pension and postretirement liability adjustments reclassified to</w:t>
            </w:r>
          </w:p>
        </w:tc>
        <w:tc>
          <w:tcPr>
            <w:tcW w:w="6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24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552</w:t>
            </w:r>
          </w:p>
        </w:tc>
        <w:tc>
          <w:tcPr>
            <w:tcW w:w="0" w:type="dxa"/>
            <w:vAlign w:val="bottom"/>
          </w:tcPr>
          <w:p>
            <w:pPr>
              <w:spacing w:after="0"/>
              <w:rPr>
                <w:sz w:val="1"/>
                <w:szCs w:val="1"/>
                <w:color w:val="auto"/>
              </w:rPr>
            </w:pPr>
          </w:p>
        </w:tc>
      </w:tr>
      <w:tr>
        <w:trPr>
          <w:trHeight w:val="215"/>
        </w:trPr>
        <w:tc>
          <w:tcPr>
            <w:tcW w:w="4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Consolidated Statements of Income/(Loss), net of tax</w:t>
            </w:r>
          </w:p>
        </w:tc>
        <w:tc>
          <w:tcPr>
            <w:tcW w:w="6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current period other comprehensive income/(loss)</w:t>
            </w:r>
          </w:p>
        </w:tc>
        <w:tc>
          <w:tcPr>
            <w:tcW w:w="6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58,366</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(3,044)</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(631)</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54,691</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September 30, 2025</w:t>
            </w:r>
          </w:p>
        </w:tc>
        <w:tc>
          <w:tcPr>
            <w:tcW w:w="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(123,189)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(17,372)</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(737)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(141,298)</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components of AOCI that are reclassified to the Consolidated Statements of Income/(Loss) relate to our pension and postretirement plans and interest rate swaps.</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table below presents the expense/(income) amounts reclassified from AOCI, and the line items of the Consolidated Statements of Income/(Loss) that were affected for the three and nine months ended September 30, 2026, and the Consolidated Statements of Income/(Loss) for the three and nine months ended September 30, 2025:</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9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860" w:type="dxa"/>
            <w:vAlign w:val="bottom"/>
            <w:tcBorders>
              <w:top w:val="single" w:sz="8" w:color="auto"/>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Borders>
              <w:top w:val="single" w:sz="8" w:color="auto"/>
              <w:bottom w:val="single" w:sz="8" w:color="auto"/>
            </w:tcBorders>
          </w:tcPr>
          <w:p>
            <w:pPr>
              <w:spacing w:after="0"/>
              <w:rPr>
                <w:sz w:val="18"/>
                <w:szCs w:val="18"/>
                <w:color w:val="auto"/>
              </w:rPr>
            </w:pPr>
          </w:p>
        </w:tc>
        <w:tc>
          <w:tcPr>
            <w:tcW w:w="2860" w:type="dxa"/>
            <w:vAlign w:val="bottom"/>
            <w:tcBorders>
              <w:top w:val="single" w:sz="8" w:color="auto"/>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2026</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2026</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57"/>
        </w:trPr>
        <w:tc>
          <w:tcPr>
            <w:tcW w:w="490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b w:val="1"/>
                <w:bCs w:val="1"/>
                <w:color w:val="auto"/>
              </w:rPr>
              <w:t>Pre-tax Derivative valuation reclassified from Accumulated</w:t>
            </w:r>
          </w:p>
        </w:tc>
        <w:tc>
          <w:tcPr>
            <w:tcW w:w="2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Comprehensive Income/(Loss):</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900" w:type="dxa"/>
            <w:vAlign w:val="bottom"/>
          </w:tcPr>
          <w:p>
            <w:pPr>
              <w:ind w:left="140"/>
              <w:spacing w:after="0"/>
              <w:rPr>
                <w:sz w:val="20"/>
                <w:szCs w:val="20"/>
                <w:color w:val="auto"/>
              </w:rPr>
            </w:pPr>
            <w:r>
              <w:rPr>
                <w:rFonts w:ascii="Arial" w:cs="Arial" w:eastAsia="Arial" w:hAnsi="Arial"/>
                <w:sz w:val="16"/>
                <w:szCs w:val="16"/>
                <w:color w:val="auto"/>
              </w:rPr>
              <w:t>Interest (income)/expense, net related to interest rate swaps</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900" w:type="dxa"/>
            <w:vAlign w:val="bottom"/>
          </w:tcPr>
          <w:p>
            <w:pPr>
              <w:ind w:left="140"/>
              <w:spacing w:after="0"/>
              <w:rPr>
                <w:sz w:val="20"/>
                <w:szCs w:val="20"/>
                <w:color w:val="auto"/>
              </w:rPr>
            </w:pPr>
            <w:r>
              <w:rPr>
                <w:rFonts w:ascii="Arial" w:cs="Arial" w:eastAsia="Arial" w:hAnsi="Arial"/>
                <w:sz w:val="16"/>
                <w:szCs w:val="16"/>
                <w:color w:val="auto"/>
              </w:rPr>
              <w:t>included in Income/(loss) before taxes</w:t>
            </w:r>
            <w:r>
              <w:rPr>
                <w:rFonts w:ascii="Arial" w:cs="Arial" w:eastAsia="Arial" w:hAnsi="Arial"/>
                <w:sz w:val="21"/>
                <w:szCs w:val="21"/>
                <w:color w:val="auto"/>
                <w:vertAlign w:val="superscript"/>
              </w:rPr>
              <w:t>(a)</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(100)</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(53)</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(386)</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Income tax effect</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w:t>
            </w: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146</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195"/>
        </w:trPr>
        <w:tc>
          <w:tcPr>
            <w:tcW w:w="4900" w:type="dxa"/>
            <w:vAlign w:val="bottom"/>
          </w:tcPr>
          <w:p>
            <w:pPr>
              <w:ind w:left="20"/>
              <w:spacing w:after="0"/>
              <w:rPr>
                <w:sz w:val="20"/>
                <w:szCs w:val="20"/>
                <w:color w:val="auto"/>
              </w:rPr>
            </w:pPr>
            <w:r>
              <w:rPr>
                <w:rFonts w:ascii="Arial" w:cs="Arial" w:eastAsia="Arial" w:hAnsi="Arial"/>
                <w:sz w:val="16"/>
                <w:szCs w:val="16"/>
                <w:color w:val="auto"/>
              </w:rPr>
              <w:t>Effect on net income due to items reclassified from Accumulated</w:t>
            </w: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Comprehensive Income/(Loss)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(86)</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(240)</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237"/>
        </w:trPr>
        <w:tc>
          <w:tcPr>
            <w:tcW w:w="4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900" w:type="dxa"/>
            <w:vAlign w:val="bottom"/>
          </w:tcPr>
          <w:p>
            <w:pPr>
              <w:ind w:left="20"/>
              <w:spacing w:after="0"/>
              <w:rPr>
                <w:sz w:val="20"/>
                <w:szCs w:val="20"/>
                <w:color w:val="auto"/>
              </w:rPr>
            </w:pPr>
            <w:r>
              <w:rPr>
                <w:rFonts w:ascii="Arial" w:cs="Arial" w:eastAsia="Arial" w:hAnsi="Arial"/>
                <w:sz w:val="16"/>
                <w:szCs w:val="16"/>
                <w:b w:val="1"/>
                <w:bCs w:val="1"/>
                <w:color w:val="auto"/>
              </w:rPr>
              <w:t>Pre-tax pension and postretirement liabilities reclassified from</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6"/>
                <w:szCs w:val="16"/>
                <w:b w:val="1"/>
                <w:bCs w:val="1"/>
                <w:color w:val="auto"/>
              </w:rPr>
              <w:t>Accumulated Other Comprehensive Income:</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Pension settlement/curtailment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70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(1,600)</w:t>
            </w:r>
          </w:p>
        </w:tc>
        <w:tc>
          <w:tcPr>
            <w:tcW w:w="0" w:type="dxa"/>
            <w:vAlign w:val="bottom"/>
          </w:tcPr>
          <w:p>
            <w:pPr>
              <w:spacing w:after="0"/>
              <w:rPr>
                <w:sz w:val="1"/>
                <w:szCs w:val="1"/>
                <w:color w:val="auto"/>
              </w:rPr>
            </w:pPr>
          </w:p>
        </w:tc>
      </w:tr>
      <w:tr>
        <w:trPr>
          <w:trHeight w:val="216"/>
        </w:trPr>
        <w:tc>
          <w:tcPr>
            <w:tcW w:w="4900" w:type="dxa"/>
            <w:vAlign w:val="bottom"/>
          </w:tcPr>
          <w:p>
            <w:pPr>
              <w:ind w:left="140"/>
              <w:spacing w:after="0"/>
              <w:rPr>
                <w:sz w:val="20"/>
                <w:szCs w:val="20"/>
                <w:color w:val="auto"/>
              </w:rPr>
            </w:pPr>
            <w:r>
              <w:rPr>
                <w:rFonts w:ascii="Arial" w:cs="Arial" w:eastAsia="Arial" w:hAnsi="Arial"/>
                <w:sz w:val="16"/>
                <w:szCs w:val="16"/>
                <w:color w:val="auto"/>
              </w:rPr>
              <w:t>Amortization of prior service credit</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(39)</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(38)</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(117)</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43"/>
        </w:trPr>
        <w:tc>
          <w:tcPr>
            <w:tcW w:w="49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Amortization of net actuarial loss</w:t>
            </w:r>
          </w:p>
        </w:tc>
        <w:tc>
          <w:tcPr>
            <w:tcW w:w="2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366</w:t>
            </w:r>
          </w:p>
        </w:tc>
        <w:tc>
          <w:tcPr>
            <w:tcW w:w="3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2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1,100</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908</w:t>
            </w:r>
          </w:p>
        </w:tc>
        <w:tc>
          <w:tcPr>
            <w:tcW w:w="0" w:type="dxa"/>
            <w:vAlign w:val="bottom"/>
          </w:tcPr>
          <w:p>
            <w:pPr>
              <w:spacing w:after="0"/>
              <w:rPr>
                <w:sz w:val="1"/>
                <w:szCs w:val="1"/>
                <w:color w:val="auto"/>
              </w:rPr>
            </w:pPr>
          </w:p>
        </w:tc>
      </w:tr>
      <w:tr>
        <w:trPr>
          <w:trHeight w:val="210"/>
        </w:trPr>
        <w:tc>
          <w:tcPr>
            <w:tcW w:w="4900" w:type="dxa"/>
            <w:vAlign w:val="bottom"/>
          </w:tcPr>
          <w:p>
            <w:pPr>
              <w:ind w:left="20"/>
              <w:spacing w:after="0" w:line="210" w:lineRule="exact"/>
              <w:rPr>
                <w:sz w:val="20"/>
                <w:szCs w:val="20"/>
                <w:color w:val="auto"/>
              </w:rPr>
            </w:pPr>
            <w:r>
              <w:rPr>
                <w:rFonts w:ascii="Arial" w:cs="Arial" w:eastAsia="Arial" w:hAnsi="Arial"/>
                <w:sz w:val="16"/>
                <w:szCs w:val="16"/>
                <w:color w:val="auto"/>
              </w:rPr>
              <w:t>Total pre-tax amount reclassified</w:t>
            </w:r>
            <w:r>
              <w:rPr>
                <w:rFonts w:ascii="Arial" w:cs="Arial" w:eastAsia="Arial" w:hAnsi="Arial"/>
                <w:sz w:val="21"/>
                <w:szCs w:val="21"/>
                <w:color w:val="auto"/>
                <w:vertAlign w:val="superscript"/>
              </w:rPr>
              <w:t>(b)</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327</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277</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983</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(804)</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Income tax effect</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(95)</w:t>
            </w: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(285)</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156"/>
        </w:trPr>
        <w:tc>
          <w:tcPr>
            <w:tcW w:w="4900" w:type="dxa"/>
            <w:vAlign w:val="bottom"/>
          </w:tcPr>
          <w:p>
            <w:pPr>
              <w:ind w:left="20"/>
              <w:spacing w:after="0" w:line="155" w:lineRule="exact"/>
              <w:rPr>
                <w:sz w:val="20"/>
                <w:szCs w:val="20"/>
                <w:color w:val="auto"/>
              </w:rPr>
            </w:pPr>
            <w:r>
              <w:rPr>
                <w:rFonts w:ascii="Arial" w:cs="Arial" w:eastAsia="Arial" w:hAnsi="Arial"/>
                <w:sz w:val="16"/>
                <w:szCs w:val="16"/>
                <w:color w:val="auto"/>
              </w:rPr>
              <w:t>Effect on net income due to items reclassified from Accumulated</w:t>
            </w: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3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232</w:t>
            </w:r>
          </w:p>
        </w:tc>
        <w:tc>
          <w:tcPr>
            <w:tcW w:w="380" w:type="dxa"/>
            <w:vAlign w:val="bottom"/>
            <w:vMerge w:val="restart"/>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191</w:t>
            </w:r>
          </w:p>
        </w:tc>
        <w:tc>
          <w:tcPr>
            <w:tcW w:w="2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13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698</w:t>
            </w:r>
          </w:p>
        </w:tc>
        <w:tc>
          <w:tcPr>
            <w:tcW w:w="360" w:type="dxa"/>
            <w:vAlign w:val="bottom"/>
            <w:vMerge w:val="restart"/>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(626)</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Comprehensive Income</w:t>
            </w:r>
          </w:p>
        </w:tc>
        <w:tc>
          <w:tcPr>
            <w:tcW w:w="20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ind w:left="660" w:hanging="247"/>
        <w:spacing w:after="0" w:line="268"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8"/>
          <w:szCs w:val="18"/>
          <w:color w:val="auto"/>
        </w:rPr>
        <w:t xml:space="preserve">Reported as Interest expense, net in our Consolidated Statements of Income, are payments related to the interest rate swap agreements and amortization of swap buyouts (see Note 15,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and Note 16, </w:t>
      </w:r>
      <w:r>
        <w:rPr>
          <w:rFonts w:ascii="Arial" w:cs="Arial" w:eastAsia="Arial" w:hAnsi="Arial"/>
          <w:sz w:val="18"/>
          <w:szCs w:val="18"/>
          <w:i w:val="1"/>
          <w:iCs w:val="1"/>
          <w:color w:val="auto"/>
        </w:rPr>
        <w:t>Fair-Value Measurements</w:t>
      </w:r>
      <w:r>
        <w:rPr>
          <w:rFonts w:ascii="Arial" w:cs="Arial" w:eastAsia="Arial" w:hAnsi="Arial"/>
          <w:sz w:val="18"/>
          <w:szCs w:val="18"/>
          <w:color w:val="auto"/>
        </w:rPr>
        <w:t>, of the Notes to the Consolidated Financial Statements).</w:t>
      </w:r>
    </w:p>
    <w:p>
      <w:pPr>
        <w:spacing w:after="0" w:line="130" w:lineRule="exact"/>
        <w:rPr>
          <w:sz w:val="20"/>
          <w:szCs w:val="20"/>
          <w:color w:val="auto"/>
        </w:rPr>
      </w:pPr>
    </w:p>
    <w:p>
      <w:pPr>
        <w:jc w:val="both"/>
        <w:ind w:left="660" w:hanging="242"/>
        <w:spacing w:after="0" w:line="268" w:lineRule="auto"/>
        <w:rPr>
          <w:sz w:val="20"/>
          <w:szCs w:val="20"/>
          <w:color w:val="auto"/>
        </w:rPr>
      </w:pPr>
      <w:r>
        <w:rPr>
          <w:rFonts w:ascii="Arial" w:cs="Arial" w:eastAsia="Arial" w:hAnsi="Arial"/>
          <w:sz w:val="18"/>
          <w:szCs w:val="18"/>
          <w:color w:val="auto"/>
        </w:rPr>
        <w:t xml:space="preserve">(b)Reported as Other (income)/expense, net in our Consolidated Statements of Income, the accumulated other comprehensive income components are included in the computation of net periodic pension cost (see Note 4, </w:t>
      </w:r>
      <w:r>
        <w:rPr>
          <w:rFonts w:ascii="Arial" w:cs="Arial" w:eastAsia="Arial" w:hAnsi="Arial"/>
          <w:sz w:val="18"/>
          <w:szCs w:val="18"/>
          <w:i w:val="1"/>
          <w:iCs w:val="1"/>
          <w:color w:val="auto"/>
        </w:rPr>
        <w:t>Pension, Postretirement, and Other Benefit</w:t>
      </w:r>
      <w:r>
        <w:rPr>
          <w:rFonts w:ascii="Arial" w:cs="Arial" w:eastAsia="Arial" w:hAnsi="Arial"/>
          <w:sz w:val="18"/>
          <w:szCs w:val="18"/>
          <w:color w:val="auto"/>
        </w:rPr>
        <w:t xml:space="preserve"> </w:t>
      </w:r>
      <w:r>
        <w:rPr>
          <w:rFonts w:ascii="Arial" w:cs="Arial" w:eastAsia="Arial" w:hAnsi="Arial"/>
          <w:sz w:val="18"/>
          <w:szCs w:val="18"/>
          <w:i w:val="1"/>
          <w:iCs w:val="1"/>
          <w:color w:val="auto"/>
        </w:rPr>
        <w:t>Plans</w:t>
      </w:r>
      <w:r>
        <w:rPr>
          <w:rFonts w:ascii="Arial" w:cs="Arial" w:eastAsia="Arial" w:hAnsi="Arial"/>
          <w:sz w:val="18"/>
          <w:szCs w:val="18"/>
          <w:color w:val="auto"/>
        </w:rPr>
        <w:t>, of the Notes to the Consolidated Financial Statements).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Noncontrolling Interest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Effective October 31, 2013, Safran S.A. (Safran) acquired a 10 percent equity interest in Albany Safran Composites, LLC ("ASC").</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August 31, 2023, the Company acquired all the outstanding shares of Heimbach, a privately held manufacturer of paper machine clothing with headquarters in Düren, Germany. In July 2021, Heimbach acquired 85% of Arcari, SRL (“Arcari”). Arcari is a manufacturer of textile and plastic industrial technical products and conveyor belts.</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April 1, 2025, Heimbach sold its 85% controlling interest in Arcari to the minority shareholder and recorded a gain of $1.6 million included in Other (income) expense on the sale. In connection with the sale, the corresponding value of the noncontrolling interest was reduced to zero. The Company did not retain any ownership in Arcari as a result of the sale and accordingly there was no impact on operating results during the three and nine months ended September 30, 2026.</w:t>
      </w:r>
    </w:p>
    <w:p>
      <w:pPr>
        <w:spacing w:after="0" w:line="6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table below presents a reconciliation of income attributable to the noncontrolling interest and noncontrolling equity in the Company’s subsidiaries: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9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ASC Noncontrolling Interest</w:t>
            </w:r>
          </w:p>
        </w:tc>
        <w:tc>
          <w:tcPr>
            <w:tcW w:w="1280" w:type="dxa"/>
            <w:vAlign w:val="bottom"/>
            <w:tcBorders>
              <w:top w:val="single" w:sz="8" w:color="auto"/>
              <w:bottom w:val="single" w:sz="8" w:color="auto"/>
            </w:tcBorders>
          </w:tcPr>
          <w:p>
            <w:pPr>
              <w:spacing w:after="0"/>
              <w:rPr>
                <w:sz w:val="19"/>
                <w:szCs w:val="19"/>
                <w:color w:val="auto"/>
              </w:rPr>
            </w:pPr>
          </w:p>
        </w:tc>
        <w:tc>
          <w:tcPr>
            <w:tcW w:w="2980" w:type="dxa"/>
            <w:vAlign w:val="bottom"/>
            <w:tcBorders>
              <w:top w:val="single" w:sz="8" w:color="auto"/>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rPr>
              <w:t>Nine months ended September 30,</w:t>
            </w:r>
          </w:p>
        </w:tc>
      </w:tr>
      <w:tr>
        <w:trPr>
          <w:trHeight w:val="195"/>
        </w:trPr>
        <w:tc>
          <w:tcPr>
            <w:tcW w:w="6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2026</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2025</w:t>
            </w:r>
          </w:p>
        </w:tc>
      </w:tr>
      <w:tr>
        <w:trPr>
          <w:trHeight w:val="211"/>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of Albany Safran Composites (ASC)</w:t>
            </w: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360" w:type="dxa"/>
            <w:vAlign w:val="bottom"/>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7,769</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4,857</w:t>
            </w:r>
          </w:p>
        </w:tc>
      </w:tr>
      <w:tr>
        <w:trPr>
          <w:trHeight w:val="216"/>
        </w:trPr>
        <w:tc>
          <w:tcPr>
            <w:tcW w:w="6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Return attributable to the Company's preferred holding</w:t>
            </w:r>
          </w:p>
        </w:tc>
        <w:tc>
          <w:tcPr>
            <w:tcW w:w="1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1,299</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1,352</w:t>
            </w:r>
          </w:p>
        </w:tc>
      </w:tr>
      <w:tr>
        <w:trPr>
          <w:trHeight w:val="209"/>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of ASC available for common ownership</w:t>
            </w: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360" w:type="dxa"/>
            <w:vAlign w:val="bottom"/>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6,470</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3,505</w:t>
            </w:r>
          </w:p>
        </w:tc>
      </w:tr>
      <w:tr>
        <w:trPr>
          <w:trHeight w:val="216"/>
        </w:trPr>
        <w:tc>
          <w:tcPr>
            <w:tcW w:w="6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Ownership percentage of noncontrolling shareholder</w:t>
            </w:r>
          </w:p>
        </w:tc>
        <w:tc>
          <w:tcPr>
            <w:tcW w:w="1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10 %</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10 %</w:t>
            </w:r>
          </w:p>
        </w:tc>
      </w:tr>
      <w:tr>
        <w:trPr>
          <w:trHeight w:val="210"/>
        </w:trPr>
        <w:tc>
          <w:tcPr>
            <w:tcW w:w="6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the noncontrolling interest</w:t>
            </w:r>
          </w:p>
        </w:tc>
        <w:tc>
          <w:tcPr>
            <w:tcW w:w="1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647</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351</w:t>
            </w:r>
          </w:p>
        </w:tc>
      </w:tr>
      <w:tr>
        <w:trPr>
          <w:trHeight w:val="236"/>
        </w:trPr>
        <w:tc>
          <w:tcPr>
            <w:tcW w:w="69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16"/>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 beginning of year</w:t>
            </w: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360" w:type="dxa"/>
            <w:vAlign w:val="bottom"/>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5,893</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4,983</w:t>
            </w:r>
          </w:p>
        </w:tc>
      </w:tr>
      <w:tr>
        <w:trPr>
          <w:trHeight w:val="216"/>
        </w:trPr>
        <w:tc>
          <w:tcPr>
            <w:tcW w:w="6920" w:type="dxa"/>
            <w:vAlign w:val="bottom"/>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1280" w:type="dxa"/>
            <w:vAlign w:val="bottom"/>
          </w:tcPr>
          <w:p>
            <w:pPr>
              <w:spacing w:after="0"/>
              <w:rPr>
                <w:sz w:val="18"/>
                <w:szCs w:val="18"/>
                <w:color w:val="auto"/>
              </w:rPr>
            </w:pPr>
          </w:p>
        </w:tc>
        <w:tc>
          <w:tcPr>
            <w:tcW w:w="1360" w:type="dxa"/>
            <w:vAlign w:val="bottom"/>
          </w:tcPr>
          <w:p>
            <w:pPr>
              <w:jc w:val="right"/>
              <w:ind w:right="140"/>
              <w:spacing w:after="0"/>
              <w:rPr>
                <w:sz w:val="20"/>
                <w:szCs w:val="20"/>
                <w:color w:val="auto"/>
              </w:rPr>
            </w:pPr>
            <w:r>
              <w:rPr>
                <w:rFonts w:ascii="Arial" w:cs="Arial" w:eastAsia="Arial" w:hAnsi="Arial"/>
                <w:sz w:val="16"/>
                <w:szCs w:val="16"/>
                <w:b w:val="1"/>
                <w:bCs w:val="1"/>
                <w:color w:val="auto"/>
              </w:rPr>
              <w:t>647</w:t>
            </w:r>
          </w:p>
        </w:tc>
        <w:tc>
          <w:tcPr>
            <w:tcW w:w="380" w:type="dxa"/>
            <w:vAlign w:val="bottom"/>
          </w:tcPr>
          <w:p>
            <w:pPr>
              <w:spacing w:after="0"/>
              <w:rPr>
                <w:sz w:val="18"/>
                <w:szCs w:val="18"/>
                <w:color w:val="auto"/>
              </w:rPr>
            </w:pP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351</w:t>
            </w:r>
          </w:p>
        </w:tc>
      </w:tr>
      <w:tr>
        <w:trPr>
          <w:trHeight w:val="216"/>
        </w:trPr>
        <w:tc>
          <w:tcPr>
            <w:tcW w:w="6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Changes in other comprehensive income attributable to the noncontrolling interest</w:t>
            </w:r>
          </w:p>
        </w:tc>
        <w:tc>
          <w:tcPr>
            <w:tcW w:w="1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(91)</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376</w:t>
            </w:r>
          </w:p>
        </w:tc>
      </w:tr>
      <w:tr>
        <w:trPr>
          <w:trHeight w:val="209"/>
        </w:trPr>
        <w:tc>
          <w:tcPr>
            <w:tcW w:w="6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ASC Noncontrolling interest, end of interim period</w:t>
            </w:r>
          </w:p>
        </w:tc>
        <w:tc>
          <w:tcPr>
            <w:tcW w:w="1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6,449</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5,709</w:t>
            </w:r>
          </w:p>
        </w:tc>
      </w:tr>
      <w:tr>
        <w:trPr>
          <w:trHeight w:val="237"/>
        </w:trPr>
        <w:tc>
          <w:tcPr>
            <w:tcW w:w="69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spacing w:after="0"/>
              <w:rPr>
                <w:sz w:val="20"/>
                <w:szCs w:val="20"/>
                <w:color w:val="auto"/>
              </w:rPr>
            </w:pPr>
          </w:p>
        </w:tc>
      </w:tr>
      <w:tr>
        <w:trPr>
          <w:trHeight w:val="209"/>
        </w:trPr>
        <w:tc>
          <w:tcPr>
            <w:tcW w:w="6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Arcari Noncontrolling interest, end of interim period</w:t>
            </w:r>
          </w:p>
        </w:tc>
        <w:tc>
          <w:tcPr>
            <w:tcW w:w="1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0</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r>
      <w:tr>
        <w:trPr>
          <w:trHeight w:val="237"/>
        </w:trPr>
        <w:tc>
          <w:tcPr>
            <w:tcW w:w="69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spacing w:after="0"/>
              <w:rPr>
                <w:sz w:val="20"/>
                <w:szCs w:val="20"/>
                <w:color w:val="auto"/>
              </w:rPr>
            </w:pPr>
          </w:p>
        </w:tc>
      </w:tr>
      <w:tr>
        <w:trPr>
          <w:trHeight w:val="210"/>
        </w:trPr>
        <w:tc>
          <w:tcPr>
            <w:tcW w:w="69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Noncontrolling interest, end of interim period</w:t>
            </w:r>
          </w:p>
        </w:tc>
        <w:tc>
          <w:tcPr>
            <w:tcW w:w="1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6,449</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5,709</w:t>
            </w: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Accounts Receivable</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Accounts receivable, net includes trade and other accounts receivable and bank promissory notes, net of allowance for expected credit losses. In connection with certain revenues in Asia, the Company accepts a bank promissory note as customer payment. The notes may be presented for payment at maturity, which is less than one year. As of September 30, 2026 and December 31, 2025, Accounts receivable consisted of the following:</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62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September 30, 2026</w:t>
            </w:r>
          </w:p>
        </w:tc>
        <w:tc>
          <w:tcPr>
            <w:tcW w:w="18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December 31, 2025</w:t>
            </w:r>
          </w:p>
        </w:tc>
      </w:tr>
      <w:tr>
        <w:trPr>
          <w:trHeight w:val="211"/>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and other accounts receivable</w:t>
            </w:r>
          </w:p>
        </w:tc>
        <w:tc>
          <w:tcPr>
            <w:tcW w:w="2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6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264,425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221,592</w:t>
            </w:r>
          </w:p>
        </w:tc>
      </w:tr>
      <w:tr>
        <w:trPr>
          <w:trHeight w:val="216"/>
        </w:trPr>
        <w:tc>
          <w:tcPr>
            <w:tcW w:w="5100" w:type="dxa"/>
            <w:vAlign w:val="bottom"/>
          </w:tcPr>
          <w:p>
            <w:pPr>
              <w:ind w:left="20"/>
              <w:spacing w:after="0"/>
              <w:rPr>
                <w:sz w:val="20"/>
                <w:szCs w:val="20"/>
                <w:color w:val="auto"/>
              </w:rPr>
            </w:pPr>
            <w:r>
              <w:rPr>
                <w:rFonts w:ascii="Arial" w:cs="Arial" w:eastAsia="Arial" w:hAnsi="Arial"/>
                <w:sz w:val="16"/>
                <w:szCs w:val="16"/>
                <w:color w:val="auto"/>
              </w:rPr>
              <w:t>Bank promissory notes</w:t>
            </w:r>
          </w:p>
        </w:tc>
        <w:tc>
          <w:tcPr>
            <w:tcW w:w="2620" w:type="dxa"/>
            <w:vAlign w:val="bottom"/>
          </w:tcPr>
          <w:p>
            <w:pPr>
              <w:spacing w:after="0"/>
              <w:rPr>
                <w:sz w:val="18"/>
                <w:szCs w:val="18"/>
                <w:color w:val="auto"/>
              </w:rPr>
            </w:pPr>
          </w:p>
        </w:tc>
        <w:tc>
          <w:tcPr>
            <w:tcW w:w="1660" w:type="dxa"/>
            <w:vAlign w:val="bottom"/>
          </w:tcPr>
          <w:p>
            <w:pPr>
              <w:jc w:val="right"/>
              <w:ind w:right="1"/>
              <w:spacing w:after="0"/>
              <w:rPr>
                <w:sz w:val="20"/>
                <w:szCs w:val="20"/>
                <w:color w:val="auto"/>
              </w:rPr>
            </w:pPr>
            <w:r>
              <w:rPr>
                <w:rFonts w:ascii="Arial" w:cs="Arial" w:eastAsia="Arial" w:hAnsi="Arial"/>
                <w:sz w:val="16"/>
                <w:szCs w:val="16"/>
                <w:b w:val="1"/>
                <w:bCs w:val="1"/>
                <w:color w:val="auto"/>
              </w:rPr>
              <w:t>17,396</w:t>
            </w:r>
          </w:p>
        </w:tc>
        <w:tc>
          <w:tcPr>
            <w:tcW w:w="180" w:type="dxa"/>
            <w:vAlign w:val="bottom"/>
          </w:tcPr>
          <w:p>
            <w:pPr>
              <w:spacing w:after="0"/>
              <w:rPr>
                <w:sz w:val="18"/>
                <w:szCs w:val="18"/>
                <w:color w:val="auto"/>
              </w:rPr>
            </w:pPr>
          </w:p>
        </w:tc>
        <w:tc>
          <w:tcPr>
            <w:tcW w:w="1660" w:type="dxa"/>
            <w:vAlign w:val="bottom"/>
          </w:tcPr>
          <w:p>
            <w:pPr>
              <w:jc w:val="right"/>
              <w:ind w:right="1"/>
              <w:spacing w:after="0"/>
              <w:rPr>
                <w:sz w:val="20"/>
                <w:szCs w:val="20"/>
                <w:color w:val="auto"/>
              </w:rPr>
            </w:pPr>
            <w:r>
              <w:rPr>
                <w:rFonts w:ascii="Arial" w:cs="Arial" w:eastAsia="Arial" w:hAnsi="Arial"/>
                <w:sz w:val="16"/>
                <w:szCs w:val="16"/>
                <w:color w:val="auto"/>
              </w:rPr>
              <w:t>17,844</w:t>
            </w:r>
          </w:p>
        </w:tc>
      </w:tr>
      <w:tr>
        <w:trPr>
          <w:trHeight w:val="216"/>
        </w:trPr>
        <w:tc>
          <w:tcPr>
            <w:tcW w:w="5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Allowance for expected credit losses</w:t>
            </w:r>
          </w:p>
        </w:tc>
        <w:tc>
          <w:tcPr>
            <w:tcW w:w="26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(4,129)</w:t>
            </w: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(4,352)</w:t>
            </w:r>
          </w:p>
        </w:tc>
      </w:tr>
      <w:tr>
        <w:trPr>
          <w:trHeight w:val="210"/>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Accounts receivable, net</w:t>
            </w:r>
          </w:p>
        </w:tc>
        <w:tc>
          <w:tcPr>
            <w:tcW w:w="2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277,692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235,084</w:t>
            </w:r>
          </w:p>
        </w:tc>
      </w:tr>
    </w:tbl>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Contract Assets and Liabilities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Contract assets include unbilled amounts typically resulting from revenues under contracts when the over time method of revenue recognition is utilized, and revenue recognized exceeds the amount billed to the customer. Contract assets are transferred to Accounts receivable, net when the entitlement to payment becomes unconditional and the customer is invoiced. Contract liabilities include advance payments and billings in excess of revenue recognized. Contract liabilities are included in Accrued liabilities in the Consolidated Balance Sheets.</w:t>
      </w:r>
    </w:p>
    <w:p>
      <w:pPr>
        <w:spacing w:after="0" w:line="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Contract assets and Contract liabilities are reported on the Consolidated Balance Sheets in a net position on a contract-by-contract basis at the end of each reporting period.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2026 and December 31, 2025, Contract assets and Contract liabilities consisted of the following:</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62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September 30, 2026</w:t>
            </w:r>
          </w:p>
        </w:tc>
        <w:tc>
          <w:tcPr>
            <w:tcW w:w="18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December 31, 2025</w:t>
            </w:r>
          </w:p>
        </w:tc>
      </w:tr>
      <w:tr>
        <w:trPr>
          <w:trHeight w:val="210"/>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assets</w:t>
            </w:r>
          </w:p>
        </w:tc>
        <w:tc>
          <w:tcPr>
            <w:tcW w:w="2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6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165,296</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87,573</w:t>
            </w:r>
          </w:p>
        </w:tc>
      </w:tr>
      <w:tr>
        <w:trPr>
          <w:trHeight w:val="243"/>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Allowance for expected credit losses</w:t>
            </w:r>
          </w:p>
        </w:tc>
        <w:tc>
          <w:tcPr>
            <w:tcW w:w="26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(858)</w:t>
            </w:r>
          </w:p>
        </w:tc>
        <w:tc>
          <w:tcPr>
            <w:tcW w:w="1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w:t>
            </w:r>
          </w:p>
        </w:tc>
      </w:tr>
      <w:tr>
        <w:trPr>
          <w:trHeight w:val="209"/>
        </w:trPr>
        <w:tc>
          <w:tcPr>
            <w:tcW w:w="5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Contract assets, net</w:t>
            </w:r>
          </w:p>
        </w:tc>
        <w:tc>
          <w:tcPr>
            <w:tcW w:w="2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164,438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87,102</w:t>
            </w:r>
          </w:p>
        </w:tc>
      </w:tr>
      <w:tr>
        <w:trPr>
          <w:trHeight w:val="237"/>
        </w:trPr>
        <w:tc>
          <w:tcPr>
            <w:tcW w:w="510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r>
      <w:tr>
        <w:trPr>
          <w:trHeight w:val="209"/>
        </w:trPr>
        <w:tc>
          <w:tcPr>
            <w:tcW w:w="5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Contract liabilities</w:t>
            </w:r>
          </w:p>
        </w:tc>
        <w:tc>
          <w:tcPr>
            <w:tcW w:w="2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28,185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33,397</w:t>
            </w:r>
          </w:p>
        </w:tc>
      </w:tr>
    </w:tbl>
    <w:p>
      <w:pPr>
        <w:spacing w:after="0" w:line="14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Contract assets, net increased $77.3 million during the nine months ended September 30, 2026, primarily due to the conclusion of the Amelia Earhart Drive strategic review upon which $68.6 million was reclassified from Assets held for sale back into Contract assets, net. The remaining increase in unbilled revenue is related to commercial and defense programs. There were no impairment losses related to our Contract assets during the nine months ended September 30, 2026 and September 30, 2025.</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Contract liabilities decreased $5.2 million for the period ended September 30, 2026 compared to December 31, 2025, primarily due to revenue recognized from satisfied performance obligations for contracts that were in a contract liability position partially offset by amounts reclassified from Liabilities held for sale back into Accrued liabilities upon the conclusion of the Amelia Earhart Drive strategic review. Revenue recognized for the nine months ended September 30, 2026 and 2025 that was included in the Contract liability balance at the beginning of the year was $23.8 million and $5.6 million, respectively.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Inventories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2026 and December 31, 2025, Inventories consisted of the following:</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2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September 30, 2026</w:t>
            </w:r>
          </w:p>
        </w:tc>
        <w:tc>
          <w:tcPr>
            <w:tcW w:w="18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December 31, 2025</w:t>
            </w:r>
          </w:p>
        </w:tc>
      </w:tr>
      <w:tr>
        <w:trPr>
          <w:trHeight w:val="210"/>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3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89,490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60,311</w:t>
            </w:r>
          </w:p>
        </w:tc>
      </w:tr>
      <w:tr>
        <w:trPr>
          <w:trHeight w:val="243"/>
        </w:trPr>
        <w:tc>
          <w:tcPr>
            <w:tcW w:w="4480" w:type="dxa"/>
            <w:vAlign w:val="bottom"/>
          </w:tcPr>
          <w:p>
            <w:pPr>
              <w:ind w:left="20"/>
              <w:spacing w:after="0"/>
              <w:rPr>
                <w:sz w:val="20"/>
                <w:szCs w:val="20"/>
                <w:color w:val="auto"/>
              </w:rPr>
            </w:pPr>
            <w:r>
              <w:rPr>
                <w:rFonts w:ascii="Arial" w:cs="Arial" w:eastAsia="Arial" w:hAnsi="Arial"/>
                <w:sz w:val="16"/>
                <w:szCs w:val="16"/>
                <w:color w:val="auto"/>
              </w:rPr>
              <w:t>Work in process</w:t>
            </w:r>
          </w:p>
        </w:tc>
        <w:tc>
          <w:tcPr>
            <w:tcW w:w="34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56,009</w:t>
            </w:r>
          </w:p>
        </w:tc>
        <w:tc>
          <w:tcPr>
            <w:tcW w:w="180" w:type="dxa"/>
            <w:vAlign w:val="bottom"/>
          </w:tcPr>
          <w:p>
            <w:pPr>
              <w:spacing w:after="0"/>
              <w:rPr>
                <w:sz w:val="21"/>
                <w:szCs w:val="21"/>
                <w:color w:val="auto"/>
              </w:rPr>
            </w:pPr>
          </w:p>
        </w:tc>
        <w:tc>
          <w:tcPr>
            <w:tcW w:w="1580" w:type="dxa"/>
            <w:vAlign w:val="bottom"/>
          </w:tcPr>
          <w:p>
            <w:pPr>
              <w:jc w:val="right"/>
              <w:ind w:right="1"/>
              <w:spacing w:after="0"/>
              <w:rPr>
                <w:sz w:val="20"/>
                <w:szCs w:val="20"/>
                <w:color w:val="auto"/>
              </w:rPr>
            </w:pPr>
            <w:r>
              <w:rPr>
                <w:rFonts w:ascii="Arial" w:cs="Arial" w:eastAsia="Arial" w:hAnsi="Arial"/>
                <w:sz w:val="16"/>
                <w:szCs w:val="16"/>
                <w:color w:val="auto"/>
              </w:rPr>
              <w:t>46,952</w:t>
            </w:r>
          </w:p>
        </w:tc>
      </w:tr>
      <w:tr>
        <w:trPr>
          <w:trHeight w:val="216"/>
        </w:trPr>
        <w:tc>
          <w:tcPr>
            <w:tcW w:w="4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Finished goods</w:t>
            </w:r>
          </w:p>
        </w:tc>
        <w:tc>
          <w:tcPr>
            <w:tcW w:w="34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20,038</w:t>
            </w: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14,326</w:t>
            </w:r>
          </w:p>
        </w:tc>
      </w:tr>
      <w:tr>
        <w:trPr>
          <w:trHeight w:val="237"/>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inventories</w:t>
            </w:r>
          </w:p>
        </w:tc>
        <w:tc>
          <w:tcPr>
            <w:tcW w:w="3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165,537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121,589</w:t>
            </w:r>
          </w:p>
        </w:tc>
      </w:tr>
    </w:tbl>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 Goodwill and Other Intangible Assets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gross carrying value, accumulated amortization and net values of intangible assets and goodwill as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2026 and December 31, 2025:</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00" w:type="dxa"/>
            <w:vAlign w:val="bottom"/>
            <w:tcBorders>
              <w:top w:val="single" w:sz="8" w:color="auto"/>
              <w:bottom w:val="single" w:sz="8" w:color="auto"/>
            </w:tcBorders>
          </w:tcPr>
          <w:p>
            <w:pPr>
              <w:spacing w:after="0"/>
              <w:rPr>
                <w:sz w:val="18"/>
                <w:szCs w:val="18"/>
                <w:color w:val="auto"/>
              </w:rPr>
            </w:pPr>
          </w:p>
        </w:tc>
        <w:tc>
          <w:tcPr>
            <w:tcW w:w="19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3160" w:type="dxa"/>
            <w:vAlign w:val="bottom"/>
            <w:tcBorders>
              <w:top w:val="single" w:sz="8" w:color="auto"/>
              <w:bottom w:val="single" w:sz="8" w:color="auto"/>
            </w:tcBorders>
            <w:gridSpan w:val="2"/>
          </w:tcPr>
          <w:p>
            <w:pPr>
              <w:jc w:val="right"/>
              <w:ind w:right="582"/>
              <w:spacing w:after="0"/>
              <w:rPr>
                <w:sz w:val="20"/>
                <w:szCs w:val="20"/>
                <w:color w:val="auto"/>
              </w:rPr>
            </w:pPr>
            <w:r>
              <w:rPr>
                <w:rFonts w:ascii="Arial" w:cs="Arial" w:eastAsia="Arial" w:hAnsi="Arial"/>
                <w:sz w:val="14"/>
                <w:szCs w:val="14"/>
                <w:b w:val="1"/>
                <w:bCs w:val="1"/>
                <w:color w:val="auto"/>
              </w:rPr>
              <w:t>September 30, 2026</w:t>
            </w:r>
          </w:p>
        </w:tc>
        <w:tc>
          <w:tcPr>
            <w:tcW w:w="6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3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9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2"/>
                <w:szCs w:val="12"/>
                <w:color w:val="auto"/>
              </w:rPr>
            </w:pPr>
          </w:p>
        </w:tc>
        <w:tc>
          <w:tcPr>
            <w:tcW w:w="180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Gross carrying amount</w:t>
            </w:r>
          </w:p>
        </w:tc>
        <w:tc>
          <w:tcPr>
            <w:tcW w:w="2000" w:type="dxa"/>
            <w:vAlign w:val="bottom"/>
            <w:gridSpan w:val="2"/>
          </w:tcPr>
          <w:p>
            <w:pPr>
              <w:jc w:val="right"/>
              <w:ind w:right="19"/>
              <w:spacing w:after="0" w:line="147" w:lineRule="exact"/>
              <w:rPr>
                <w:sz w:val="20"/>
                <w:szCs w:val="20"/>
                <w:color w:val="auto"/>
              </w:rPr>
            </w:pPr>
            <w:r>
              <w:rPr>
                <w:rFonts w:ascii="Arial" w:cs="Arial" w:eastAsia="Arial" w:hAnsi="Arial"/>
                <w:sz w:val="14"/>
                <w:szCs w:val="14"/>
                <w:b w:val="1"/>
                <w:bCs w:val="1"/>
                <w:color w:val="auto"/>
              </w:rPr>
              <w:t>Accumulated amortization</w:t>
            </w:r>
          </w:p>
        </w:tc>
        <w:tc>
          <w:tcPr>
            <w:tcW w:w="200" w:type="dxa"/>
            <w:vAlign w:val="bottom"/>
          </w:tcPr>
          <w:p>
            <w:pPr>
              <w:spacing w:after="0"/>
              <w:rPr>
                <w:sz w:val="12"/>
                <w:szCs w:val="12"/>
                <w:color w:val="auto"/>
              </w:rPr>
            </w:pPr>
          </w:p>
        </w:tc>
        <w:tc>
          <w:tcPr>
            <w:tcW w:w="176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Net carrying amount</w:t>
            </w:r>
          </w:p>
        </w:tc>
        <w:tc>
          <w:tcPr>
            <w:tcW w:w="0" w:type="dxa"/>
            <w:vAlign w:val="bottom"/>
          </w:tcPr>
          <w:p>
            <w:pPr>
              <w:spacing w:after="0"/>
              <w:rPr>
                <w:sz w:val="1"/>
                <w:szCs w:val="1"/>
                <w:color w:val="auto"/>
              </w:rPr>
            </w:pPr>
          </w:p>
        </w:tc>
      </w:tr>
      <w:tr>
        <w:trPr>
          <w:trHeight w:val="185"/>
        </w:trPr>
        <w:tc>
          <w:tcPr>
            <w:tcW w:w="3300" w:type="dxa"/>
            <w:vAlign w:val="bottom"/>
            <w:tcBorders>
              <w:bottom w:val="single" w:sz="8" w:color="auto"/>
            </w:tcBorders>
            <w:vMerge w:val="continue"/>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in years</w:t>
            </w:r>
          </w:p>
        </w:tc>
        <w:tc>
          <w:tcPr>
            <w:tcW w:w="1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and other</w:t>
            </w:r>
          </w:p>
        </w:tc>
        <w:tc>
          <w:tcPr>
            <w:tcW w:w="6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Finite-lived assets: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20"/>
              <w:spacing w:after="0"/>
              <w:rPr>
                <w:sz w:val="20"/>
                <w:szCs w:val="20"/>
                <w:color w:val="auto"/>
              </w:rPr>
            </w:pPr>
            <w:r>
              <w:rPr>
                <w:rFonts w:ascii="Arial" w:cs="Arial" w:eastAsia="Arial" w:hAnsi="Arial"/>
                <w:sz w:val="16"/>
                <w:szCs w:val="16"/>
                <w:color w:val="auto"/>
              </w:rPr>
              <w:t>AEC Trademarks and trade names</w:t>
            </w: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w w:val="99"/>
              </w:rPr>
              <w:t>6-15</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800" w:type="dxa"/>
            <w:vAlign w:val="bottom"/>
          </w:tcPr>
          <w:p>
            <w:pPr>
              <w:jc w:val="right"/>
              <w:spacing w:after="0"/>
              <w:rPr>
                <w:sz w:val="20"/>
                <w:szCs w:val="20"/>
                <w:color w:val="auto"/>
              </w:rPr>
            </w:pPr>
            <w:r>
              <w:rPr>
                <w:rFonts w:ascii="Arial" w:cs="Arial" w:eastAsia="Arial" w:hAnsi="Arial"/>
                <w:sz w:val="16"/>
                <w:szCs w:val="16"/>
                <w:b w:val="1"/>
                <w:bCs w:val="1"/>
                <w:color w:val="auto"/>
              </w:rPr>
              <w:t>208</w:t>
            </w:r>
          </w:p>
        </w:tc>
        <w:tc>
          <w:tcPr>
            <w:tcW w:w="1360" w:type="dxa"/>
            <w:vAlign w:val="bottom"/>
          </w:tcPr>
          <w:p>
            <w:pPr>
              <w:jc w:val="right"/>
              <w:ind w:right="1142"/>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(208)</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AEC Technology</w:t>
            </w:r>
          </w:p>
        </w:tc>
        <w:tc>
          <w:tcPr>
            <w:tcW w:w="198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7"/>
              </w:rPr>
              <w:t>10-15</w:t>
            </w:r>
          </w:p>
        </w:tc>
        <w:tc>
          <w:tcPr>
            <w:tcW w:w="14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6,322</w:t>
            </w:r>
          </w:p>
        </w:tc>
        <w:tc>
          <w:tcPr>
            <w:tcW w:w="1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(4,437)</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1,885</w:t>
            </w:r>
          </w:p>
        </w:tc>
        <w:tc>
          <w:tcPr>
            <w:tcW w:w="0" w:type="dxa"/>
            <w:vAlign w:val="bottom"/>
          </w:tcPr>
          <w:p>
            <w:pPr>
              <w:spacing w:after="0"/>
              <w:rPr>
                <w:sz w:val="1"/>
                <w:szCs w:val="1"/>
                <w:color w:val="auto"/>
              </w:rPr>
            </w:pPr>
          </w:p>
        </w:tc>
      </w:tr>
      <w:tr>
        <w:trPr>
          <w:trHeight w:val="216"/>
        </w:trPr>
        <w:tc>
          <w:tcPr>
            <w:tcW w:w="3300" w:type="dxa"/>
            <w:vAlign w:val="bottom"/>
          </w:tcPr>
          <w:p>
            <w:pPr>
              <w:ind w:left="20"/>
              <w:spacing w:after="0"/>
              <w:rPr>
                <w:sz w:val="20"/>
                <w:szCs w:val="20"/>
                <w:color w:val="auto"/>
              </w:rPr>
            </w:pPr>
            <w:r>
              <w:rPr>
                <w:rFonts w:ascii="Arial" w:cs="Arial" w:eastAsia="Arial" w:hAnsi="Arial"/>
                <w:sz w:val="16"/>
                <w:szCs w:val="16"/>
                <w:color w:val="auto"/>
              </w:rPr>
              <w:t>AEC Intellectual property</w:t>
            </w: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rPr>
              <w:t>15</w:t>
            </w:r>
          </w:p>
        </w:tc>
        <w:tc>
          <w:tcPr>
            <w:tcW w:w="1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b w:val="1"/>
                <w:bCs w:val="1"/>
                <w:color w:val="auto"/>
              </w:rPr>
              <w:t>1,250</w:t>
            </w:r>
          </w:p>
        </w:tc>
        <w:tc>
          <w:tcPr>
            <w:tcW w:w="1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(569)</w:t>
            </w: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b w:val="1"/>
                <w:bCs w:val="1"/>
                <w:color w:val="auto"/>
              </w:rPr>
              <w:t>681</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AEC Customer relationships</w:t>
            </w:r>
          </w:p>
        </w:tc>
        <w:tc>
          <w:tcPr>
            <w:tcW w:w="198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9"/>
              </w:rPr>
              <w:t>8-15</w:t>
            </w:r>
          </w:p>
        </w:tc>
        <w:tc>
          <w:tcPr>
            <w:tcW w:w="14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69,446</w:t>
            </w:r>
          </w:p>
        </w:tc>
        <w:tc>
          <w:tcPr>
            <w:tcW w:w="1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7"/>
              </w:rPr>
              <w:t>(53,507)</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15,939</w:t>
            </w:r>
          </w:p>
        </w:tc>
        <w:tc>
          <w:tcPr>
            <w:tcW w:w="0" w:type="dxa"/>
            <w:vAlign w:val="bottom"/>
          </w:tcPr>
          <w:p>
            <w:pPr>
              <w:spacing w:after="0"/>
              <w:rPr>
                <w:sz w:val="1"/>
                <w:szCs w:val="1"/>
                <w:color w:val="auto"/>
              </w:rPr>
            </w:pPr>
          </w:p>
        </w:tc>
      </w:tr>
      <w:tr>
        <w:trPr>
          <w:trHeight w:val="216"/>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Heimbach Developed technology</w:t>
            </w:r>
          </w:p>
        </w:tc>
        <w:tc>
          <w:tcPr>
            <w:tcW w:w="1980" w:type="dxa"/>
            <w:vAlign w:val="bottom"/>
            <w:tcBorders>
              <w:bottom w:val="single" w:sz="8" w:color="CCEEFF"/>
            </w:tcBorders>
          </w:tcPr>
          <w:p>
            <w:pPr>
              <w:jc w:val="center"/>
              <w:spacing w:after="0"/>
              <w:rPr>
                <w:sz w:val="20"/>
                <w:szCs w:val="20"/>
                <w:color w:val="auto"/>
              </w:rPr>
            </w:pPr>
            <w:r>
              <w:rPr>
                <w:rFonts w:ascii="Arial" w:cs="Arial" w:eastAsia="Arial" w:hAnsi="Arial"/>
                <w:sz w:val="16"/>
                <w:szCs w:val="16"/>
                <w:b w:val="1"/>
                <w:bCs w:val="1"/>
                <w:color w:val="auto"/>
                <w:w w:val="89"/>
              </w:rPr>
              <w:t>9</w:t>
            </w:r>
          </w:p>
        </w:tc>
        <w:tc>
          <w:tcPr>
            <w:tcW w:w="1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8,712</w:t>
            </w:r>
          </w:p>
        </w:tc>
        <w:tc>
          <w:tcPr>
            <w:tcW w:w="1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(3,041)</w:t>
            </w: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5,671</w:t>
            </w:r>
          </w:p>
        </w:tc>
        <w:tc>
          <w:tcPr>
            <w:tcW w:w="0" w:type="dxa"/>
            <w:vAlign w:val="bottom"/>
          </w:tcPr>
          <w:p>
            <w:pPr>
              <w:spacing w:after="0"/>
              <w:rPr>
                <w:sz w:val="1"/>
                <w:szCs w:val="1"/>
                <w:color w:val="auto"/>
              </w:rPr>
            </w:pPr>
          </w:p>
        </w:tc>
      </w:tr>
      <w:tr>
        <w:trPr>
          <w:trHeight w:val="209"/>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Finite-lived intangible assets</w:t>
            </w:r>
          </w:p>
        </w:tc>
        <w:tc>
          <w:tcPr>
            <w:tcW w:w="19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85,938</w:t>
            </w:r>
          </w:p>
        </w:tc>
        <w:tc>
          <w:tcPr>
            <w:tcW w:w="1360" w:type="dxa"/>
            <w:vAlign w:val="bottom"/>
            <w:tcBorders>
              <w:bottom w:val="single" w:sz="8" w:color="auto"/>
            </w:tcBorders>
            <w:shd w:val="clear" w:color="auto" w:fill="CCEEFF"/>
          </w:tcPr>
          <w:p>
            <w:pPr>
              <w:jc w:val="right"/>
              <w:ind w:right="1142"/>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7"/>
              </w:rPr>
              <w:t>(61,762)</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24,176</w:t>
            </w: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20"/>
              <w:spacing w:after="0"/>
              <w:rPr>
                <w:sz w:val="20"/>
                <w:szCs w:val="20"/>
                <w:color w:val="auto"/>
              </w:rPr>
            </w:pPr>
            <w:r>
              <w:rPr>
                <w:rFonts w:ascii="Arial" w:cs="Arial" w:eastAsia="Arial" w:hAnsi="Arial"/>
                <w:sz w:val="16"/>
                <w:szCs w:val="16"/>
                <w:color w:val="auto"/>
              </w:rPr>
              <w:t>Heimbach Trade name</w:t>
            </w:r>
          </w:p>
        </w:tc>
        <w:tc>
          <w:tcPr>
            <w:tcW w:w="19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800" w:type="dxa"/>
            <w:vAlign w:val="bottom"/>
          </w:tcPr>
          <w:p>
            <w:pPr>
              <w:jc w:val="right"/>
              <w:spacing w:after="0"/>
              <w:rPr>
                <w:sz w:val="20"/>
                <w:szCs w:val="20"/>
                <w:color w:val="auto"/>
              </w:rPr>
            </w:pPr>
            <w:r>
              <w:rPr>
                <w:rFonts w:ascii="Arial" w:cs="Arial" w:eastAsia="Arial" w:hAnsi="Arial"/>
                <w:sz w:val="16"/>
                <w:szCs w:val="16"/>
                <w:b w:val="1"/>
                <w:bCs w:val="1"/>
                <w:color w:val="auto"/>
              </w:rPr>
              <w:t>6,235</w:t>
            </w:r>
          </w:p>
        </w:tc>
        <w:tc>
          <w:tcPr>
            <w:tcW w:w="1360" w:type="dxa"/>
            <w:vAlign w:val="bottom"/>
          </w:tcPr>
          <w:p>
            <w:pPr>
              <w:jc w:val="right"/>
              <w:ind w:right="1142"/>
              <w:spacing w:after="0"/>
              <w:rPr>
                <w:sz w:val="20"/>
                <w:szCs w:val="20"/>
                <w:color w:val="auto"/>
              </w:rPr>
            </w:pPr>
            <w:r>
              <w:rPr>
                <w:rFonts w:ascii="Arial" w:cs="Arial" w:eastAsia="Arial" w:hAnsi="Arial"/>
                <w:sz w:val="16"/>
                <w:szCs w:val="16"/>
                <w:b w:val="1"/>
                <w:bCs w:val="1"/>
                <w:color w:val="auto"/>
              </w:rPr>
              <w:t>$</w:t>
            </w:r>
          </w:p>
        </w:tc>
        <w:tc>
          <w:tcPr>
            <w:tcW w:w="84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 $</w:t>
            </w:r>
          </w:p>
        </w:tc>
        <w:tc>
          <w:tcPr>
            <w:tcW w:w="1760" w:type="dxa"/>
            <w:vAlign w:val="bottom"/>
          </w:tcPr>
          <w:p>
            <w:pPr>
              <w:jc w:val="right"/>
              <w:spacing w:after="0"/>
              <w:rPr>
                <w:sz w:val="20"/>
                <w:szCs w:val="20"/>
                <w:color w:val="auto"/>
              </w:rPr>
            </w:pPr>
            <w:r>
              <w:rPr>
                <w:rFonts w:ascii="Arial" w:cs="Arial" w:eastAsia="Arial" w:hAnsi="Arial"/>
                <w:sz w:val="16"/>
                <w:szCs w:val="16"/>
                <w:b w:val="1"/>
                <w:bCs w:val="1"/>
                <w:color w:val="auto"/>
              </w:rPr>
              <w:t>6,235</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MC Goodwill</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68,216</w:t>
            </w:r>
          </w:p>
        </w:tc>
        <w:tc>
          <w:tcPr>
            <w:tcW w:w="1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68,216</w:t>
            </w:r>
          </w:p>
        </w:tc>
        <w:tc>
          <w:tcPr>
            <w:tcW w:w="0" w:type="dxa"/>
            <w:vAlign w:val="bottom"/>
          </w:tcPr>
          <w:p>
            <w:pPr>
              <w:spacing w:after="0"/>
              <w:rPr>
                <w:sz w:val="1"/>
                <w:szCs w:val="1"/>
                <w:color w:val="auto"/>
              </w:rPr>
            </w:pPr>
          </w:p>
        </w:tc>
      </w:tr>
      <w:tr>
        <w:trPr>
          <w:trHeight w:val="216"/>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AEC Goodwill</w:t>
            </w:r>
          </w:p>
        </w:tc>
        <w:tc>
          <w:tcPr>
            <w:tcW w:w="19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113,795</w:t>
            </w:r>
          </w:p>
        </w:tc>
        <w:tc>
          <w:tcPr>
            <w:tcW w:w="1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113,795</w:t>
            </w: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Indefinite-lived intangible assets:</w:t>
            </w:r>
          </w:p>
        </w:tc>
        <w:tc>
          <w:tcPr>
            <w:tcW w:w="19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188,246</w:t>
            </w:r>
          </w:p>
        </w:tc>
        <w:tc>
          <w:tcPr>
            <w:tcW w:w="1360" w:type="dxa"/>
            <w:vAlign w:val="bottom"/>
            <w:tcBorders>
              <w:bottom w:val="single" w:sz="8" w:color="auto"/>
            </w:tcBorders>
            <w:shd w:val="clear" w:color="auto" w:fill="CCEEFF"/>
          </w:tcPr>
          <w:p>
            <w:pPr>
              <w:jc w:val="right"/>
              <w:ind w:right="1142"/>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 $</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188,246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00" w:type="dxa"/>
            <w:vAlign w:val="bottom"/>
            <w:tcBorders>
              <w:top w:val="single" w:sz="8" w:color="auto"/>
              <w:bottom w:val="single" w:sz="8" w:color="auto"/>
            </w:tcBorders>
          </w:tcPr>
          <w:p>
            <w:pPr>
              <w:spacing w:after="0"/>
              <w:rPr>
                <w:sz w:val="18"/>
                <w:szCs w:val="18"/>
                <w:color w:val="auto"/>
              </w:rPr>
            </w:pPr>
          </w:p>
        </w:tc>
        <w:tc>
          <w:tcPr>
            <w:tcW w:w="19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3160" w:type="dxa"/>
            <w:vAlign w:val="bottom"/>
            <w:tcBorders>
              <w:top w:val="single" w:sz="8" w:color="auto"/>
              <w:bottom w:val="single" w:sz="8" w:color="auto"/>
            </w:tcBorders>
            <w:gridSpan w:val="2"/>
          </w:tcPr>
          <w:p>
            <w:pPr>
              <w:jc w:val="right"/>
              <w:ind w:right="602"/>
              <w:spacing w:after="0"/>
              <w:rPr>
                <w:sz w:val="20"/>
                <w:szCs w:val="20"/>
                <w:color w:val="auto"/>
              </w:rPr>
            </w:pPr>
            <w:r>
              <w:rPr>
                <w:rFonts w:ascii="Arial" w:cs="Arial" w:eastAsia="Arial" w:hAnsi="Arial"/>
                <w:sz w:val="14"/>
                <w:szCs w:val="14"/>
                <w:b w:val="1"/>
                <w:bCs w:val="1"/>
                <w:color w:val="auto"/>
              </w:rPr>
              <w:t>December 31, 2025</w:t>
            </w:r>
          </w:p>
        </w:tc>
        <w:tc>
          <w:tcPr>
            <w:tcW w:w="6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3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9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2"/>
                <w:szCs w:val="12"/>
                <w:color w:val="auto"/>
              </w:rPr>
            </w:pPr>
          </w:p>
        </w:tc>
        <w:tc>
          <w:tcPr>
            <w:tcW w:w="180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Gross carrying amount</w:t>
            </w:r>
          </w:p>
        </w:tc>
        <w:tc>
          <w:tcPr>
            <w:tcW w:w="2000" w:type="dxa"/>
            <w:vAlign w:val="bottom"/>
            <w:gridSpan w:val="2"/>
          </w:tcPr>
          <w:p>
            <w:pPr>
              <w:jc w:val="right"/>
              <w:ind w:right="19"/>
              <w:spacing w:after="0" w:line="147" w:lineRule="exact"/>
              <w:rPr>
                <w:sz w:val="20"/>
                <w:szCs w:val="20"/>
                <w:color w:val="auto"/>
              </w:rPr>
            </w:pPr>
            <w:r>
              <w:rPr>
                <w:rFonts w:ascii="Arial" w:cs="Arial" w:eastAsia="Arial" w:hAnsi="Arial"/>
                <w:sz w:val="14"/>
                <w:szCs w:val="14"/>
                <w:b w:val="1"/>
                <w:bCs w:val="1"/>
                <w:color w:val="auto"/>
              </w:rPr>
              <w:t>Accumulated amortization</w:t>
            </w:r>
          </w:p>
        </w:tc>
        <w:tc>
          <w:tcPr>
            <w:tcW w:w="200" w:type="dxa"/>
            <w:vAlign w:val="bottom"/>
          </w:tcPr>
          <w:p>
            <w:pPr>
              <w:spacing w:after="0"/>
              <w:rPr>
                <w:sz w:val="12"/>
                <w:szCs w:val="12"/>
                <w:color w:val="auto"/>
              </w:rPr>
            </w:pPr>
          </w:p>
        </w:tc>
        <w:tc>
          <w:tcPr>
            <w:tcW w:w="176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Net carrying amount</w:t>
            </w:r>
          </w:p>
        </w:tc>
        <w:tc>
          <w:tcPr>
            <w:tcW w:w="0" w:type="dxa"/>
            <w:vAlign w:val="bottom"/>
          </w:tcPr>
          <w:p>
            <w:pPr>
              <w:spacing w:after="0"/>
              <w:rPr>
                <w:sz w:val="1"/>
                <w:szCs w:val="1"/>
                <w:color w:val="auto"/>
              </w:rPr>
            </w:pPr>
          </w:p>
        </w:tc>
      </w:tr>
      <w:tr>
        <w:trPr>
          <w:trHeight w:val="185"/>
        </w:trPr>
        <w:tc>
          <w:tcPr>
            <w:tcW w:w="3300" w:type="dxa"/>
            <w:vAlign w:val="bottom"/>
            <w:tcBorders>
              <w:bottom w:val="single" w:sz="8" w:color="auto"/>
            </w:tcBorders>
            <w:vMerge w:val="continue"/>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in years</w:t>
            </w:r>
          </w:p>
        </w:tc>
        <w:tc>
          <w:tcPr>
            <w:tcW w:w="1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and other</w:t>
            </w:r>
          </w:p>
        </w:tc>
        <w:tc>
          <w:tcPr>
            <w:tcW w:w="6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Finite-lived assets: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00" w:type="dxa"/>
            <w:vAlign w:val="bottom"/>
          </w:tcPr>
          <w:p>
            <w:pPr>
              <w:ind w:left="20"/>
              <w:spacing w:after="0"/>
              <w:rPr>
                <w:sz w:val="20"/>
                <w:szCs w:val="20"/>
                <w:color w:val="auto"/>
              </w:rPr>
            </w:pPr>
            <w:r>
              <w:rPr>
                <w:rFonts w:ascii="Arial" w:cs="Arial" w:eastAsia="Arial" w:hAnsi="Arial"/>
                <w:sz w:val="16"/>
                <w:szCs w:val="16"/>
                <w:color w:val="auto"/>
              </w:rPr>
              <w:t>AEC Trademarks and trade names</w:t>
            </w:r>
          </w:p>
        </w:tc>
        <w:tc>
          <w:tcPr>
            <w:tcW w:w="1980" w:type="dxa"/>
            <w:vAlign w:val="bottom"/>
          </w:tcPr>
          <w:p>
            <w:pPr>
              <w:jc w:val="center"/>
              <w:spacing w:after="0"/>
              <w:rPr>
                <w:sz w:val="20"/>
                <w:szCs w:val="20"/>
                <w:color w:val="auto"/>
              </w:rPr>
            </w:pPr>
            <w:r>
              <w:rPr>
                <w:rFonts w:ascii="Arial" w:cs="Arial" w:eastAsia="Arial" w:hAnsi="Arial"/>
                <w:sz w:val="16"/>
                <w:szCs w:val="16"/>
                <w:color w:val="auto"/>
                <w:w w:val="99"/>
              </w:rPr>
              <w:t>6-15</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208</w:t>
            </w:r>
          </w:p>
        </w:tc>
        <w:tc>
          <w:tcPr>
            <w:tcW w:w="1360" w:type="dxa"/>
            <w:vAlign w:val="bottom"/>
          </w:tcPr>
          <w:p>
            <w:pPr>
              <w:jc w:val="right"/>
              <w:ind w:right="1142"/>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(208)</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AEC Technology</w:t>
            </w:r>
          </w:p>
        </w:tc>
        <w:tc>
          <w:tcPr>
            <w:tcW w:w="1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10-15</w:t>
            </w:r>
          </w:p>
        </w:tc>
        <w:tc>
          <w:tcPr>
            <w:tcW w:w="14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6,530</w:t>
            </w:r>
          </w:p>
        </w:tc>
        <w:tc>
          <w:tcPr>
            <w:tcW w:w="1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(4,114)</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2,416</w:t>
            </w:r>
          </w:p>
        </w:tc>
        <w:tc>
          <w:tcPr>
            <w:tcW w:w="0" w:type="dxa"/>
            <w:vAlign w:val="bottom"/>
          </w:tcPr>
          <w:p>
            <w:pPr>
              <w:spacing w:after="0"/>
              <w:rPr>
                <w:sz w:val="1"/>
                <w:szCs w:val="1"/>
                <w:color w:val="auto"/>
              </w:rPr>
            </w:pPr>
          </w:p>
        </w:tc>
      </w:tr>
      <w:tr>
        <w:trPr>
          <w:trHeight w:val="215"/>
        </w:trPr>
        <w:tc>
          <w:tcPr>
            <w:tcW w:w="3300" w:type="dxa"/>
            <w:vAlign w:val="bottom"/>
          </w:tcPr>
          <w:p>
            <w:pPr>
              <w:ind w:left="20"/>
              <w:spacing w:after="0"/>
              <w:rPr>
                <w:sz w:val="20"/>
                <w:szCs w:val="20"/>
                <w:color w:val="auto"/>
              </w:rPr>
            </w:pPr>
            <w:r>
              <w:rPr>
                <w:rFonts w:ascii="Arial" w:cs="Arial" w:eastAsia="Arial" w:hAnsi="Arial"/>
                <w:sz w:val="16"/>
                <w:szCs w:val="16"/>
                <w:color w:val="auto"/>
              </w:rPr>
              <w:t>AEC Intellectual property</w:t>
            </w:r>
          </w:p>
        </w:tc>
        <w:tc>
          <w:tcPr>
            <w:tcW w:w="1980" w:type="dxa"/>
            <w:vAlign w:val="bottom"/>
          </w:tcPr>
          <w:p>
            <w:pPr>
              <w:jc w:val="center"/>
              <w:spacing w:after="0"/>
              <w:rPr>
                <w:sz w:val="20"/>
                <w:szCs w:val="20"/>
                <w:color w:val="auto"/>
              </w:rPr>
            </w:pPr>
            <w:r>
              <w:rPr>
                <w:rFonts w:ascii="Arial" w:cs="Arial" w:eastAsia="Arial" w:hAnsi="Arial"/>
                <w:sz w:val="16"/>
                <w:szCs w:val="16"/>
                <w:color w:val="auto"/>
              </w:rPr>
              <w:t>15</w:t>
            </w:r>
          </w:p>
        </w:tc>
        <w:tc>
          <w:tcPr>
            <w:tcW w:w="1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1,250</w:t>
            </w:r>
          </w:p>
        </w:tc>
        <w:tc>
          <w:tcPr>
            <w:tcW w:w="1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(505)</w:t>
            </w: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745</w:t>
            </w:r>
          </w:p>
        </w:tc>
        <w:tc>
          <w:tcPr>
            <w:tcW w:w="0" w:type="dxa"/>
            <w:vAlign w:val="bottom"/>
          </w:tcPr>
          <w:p>
            <w:pPr>
              <w:spacing w:after="0"/>
              <w:rPr>
                <w:sz w:val="1"/>
                <w:szCs w:val="1"/>
                <w:color w:val="auto"/>
              </w:rPr>
            </w:pPr>
          </w:p>
        </w:tc>
      </w:tr>
      <w:tr>
        <w:trPr>
          <w:trHeight w:val="217"/>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AEC Customer relationships</w:t>
            </w:r>
          </w:p>
        </w:tc>
        <w:tc>
          <w:tcPr>
            <w:tcW w:w="1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8-15</w:t>
            </w:r>
          </w:p>
        </w:tc>
        <w:tc>
          <w:tcPr>
            <w:tcW w:w="14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69,560</w:t>
            </w:r>
          </w:p>
        </w:tc>
        <w:tc>
          <w:tcPr>
            <w:tcW w:w="1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(64,331)</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5,229</w:t>
            </w:r>
          </w:p>
        </w:tc>
        <w:tc>
          <w:tcPr>
            <w:tcW w:w="0" w:type="dxa"/>
            <w:vAlign w:val="bottom"/>
          </w:tcPr>
          <w:p>
            <w:pPr>
              <w:spacing w:after="0"/>
              <w:rPr>
                <w:sz w:val="1"/>
                <w:szCs w:val="1"/>
                <w:color w:val="auto"/>
              </w:rPr>
            </w:pPr>
          </w:p>
        </w:tc>
      </w:tr>
      <w:tr>
        <w:trPr>
          <w:trHeight w:val="215"/>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Heimbach Developed technology</w:t>
            </w:r>
          </w:p>
        </w:tc>
        <w:tc>
          <w:tcPr>
            <w:tcW w:w="198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89"/>
              </w:rPr>
              <w:t>9</w:t>
            </w:r>
          </w:p>
        </w:tc>
        <w:tc>
          <w:tcPr>
            <w:tcW w:w="1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9,291</w:t>
            </w:r>
          </w:p>
        </w:tc>
        <w:tc>
          <w:tcPr>
            <w:tcW w:w="1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(2,709)</w:t>
            </w: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6,582</w:t>
            </w: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Finite-lived assets</w:t>
            </w:r>
          </w:p>
        </w:tc>
        <w:tc>
          <w:tcPr>
            <w:tcW w:w="19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86,839</w:t>
            </w:r>
          </w:p>
        </w:tc>
        <w:tc>
          <w:tcPr>
            <w:tcW w:w="1360" w:type="dxa"/>
            <w:vAlign w:val="bottom"/>
            <w:tcBorders>
              <w:bottom w:val="single" w:sz="8" w:color="auto"/>
            </w:tcBorders>
            <w:shd w:val="clear" w:color="auto" w:fill="CCEEFF"/>
          </w:tcPr>
          <w:p>
            <w:pPr>
              <w:jc w:val="right"/>
              <w:ind w:right="1142"/>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(71,867)</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14,972</w:t>
            </w: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00" w:type="dxa"/>
            <w:vAlign w:val="bottom"/>
          </w:tcPr>
          <w:p>
            <w:pPr>
              <w:ind w:left="20"/>
              <w:spacing w:after="0"/>
              <w:rPr>
                <w:sz w:val="20"/>
                <w:szCs w:val="20"/>
                <w:color w:val="auto"/>
              </w:rPr>
            </w:pPr>
            <w:r>
              <w:rPr>
                <w:rFonts w:ascii="Arial" w:cs="Arial" w:eastAsia="Arial" w:hAnsi="Arial"/>
                <w:sz w:val="16"/>
                <w:szCs w:val="16"/>
                <w:color w:val="auto"/>
              </w:rPr>
              <w:t>Heimbach Trade name</w:t>
            </w:r>
          </w:p>
        </w:tc>
        <w:tc>
          <w:tcPr>
            <w:tcW w:w="19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6,456</w:t>
            </w:r>
          </w:p>
        </w:tc>
        <w:tc>
          <w:tcPr>
            <w:tcW w:w="1360" w:type="dxa"/>
            <w:vAlign w:val="bottom"/>
          </w:tcPr>
          <w:p>
            <w:pPr>
              <w:jc w:val="right"/>
              <w:ind w:right="1142"/>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9"/>
              <w:spacing w:after="0"/>
              <w:rPr>
                <w:sz w:val="20"/>
                <w:szCs w:val="20"/>
                <w:color w:val="auto"/>
              </w:rPr>
            </w:pPr>
            <w:r>
              <w:rPr>
                <w:rFonts w:ascii="Arial" w:cs="Arial" w:eastAsia="Arial" w:hAnsi="Arial"/>
                <w:sz w:val="16"/>
                <w:szCs w:val="16"/>
                <w:color w:val="auto"/>
              </w:rPr>
              <w:t>— $</w:t>
            </w:r>
          </w:p>
        </w:tc>
        <w:tc>
          <w:tcPr>
            <w:tcW w:w="1760" w:type="dxa"/>
            <w:vAlign w:val="bottom"/>
          </w:tcPr>
          <w:p>
            <w:pPr>
              <w:jc w:val="right"/>
              <w:spacing w:after="0"/>
              <w:rPr>
                <w:sz w:val="20"/>
                <w:szCs w:val="20"/>
                <w:color w:val="auto"/>
              </w:rPr>
            </w:pPr>
            <w:r>
              <w:rPr>
                <w:rFonts w:ascii="Arial" w:cs="Arial" w:eastAsia="Arial" w:hAnsi="Arial"/>
                <w:sz w:val="16"/>
                <w:szCs w:val="16"/>
                <w:color w:val="auto"/>
              </w:rPr>
              <w:t>6,456</w:t>
            </w:r>
          </w:p>
        </w:tc>
        <w:tc>
          <w:tcPr>
            <w:tcW w:w="0" w:type="dxa"/>
            <w:vAlign w:val="bottom"/>
          </w:tcPr>
          <w:p>
            <w:pPr>
              <w:spacing w:after="0"/>
              <w:rPr>
                <w:sz w:val="1"/>
                <w:szCs w:val="1"/>
                <w:color w:val="auto"/>
              </w:rPr>
            </w:pPr>
          </w:p>
        </w:tc>
      </w:tr>
      <w:tr>
        <w:trPr>
          <w:trHeight w:val="217"/>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MC Goodwill</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69,911</w:t>
            </w:r>
          </w:p>
        </w:tc>
        <w:tc>
          <w:tcPr>
            <w:tcW w:w="1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69,911</w:t>
            </w:r>
          </w:p>
        </w:tc>
        <w:tc>
          <w:tcPr>
            <w:tcW w:w="0" w:type="dxa"/>
            <w:vAlign w:val="bottom"/>
          </w:tcPr>
          <w:p>
            <w:pPr>
              <w:spacing w:after="0"/>
              <w:rPr>
                <w:sz w:val="1"/>
                <w:szCs w:val="1"/>
                <w:color w:val="auto"/>
              </w:rPr>
            </w:pPr>
          </w:p>
        </w:tc>
      </w:tr>
      <w:tr>
        <w:trPr>
          <w:trHeight w:val="215"/>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AEC Goodwill</w:t>
            </w:r>
          </w:p>
        </w:tc>
        <w:tc>
          <w:tcPr>
            <w:tcW w:w="19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114,428</w:t>
            </w:r>
          </w:p>
        </w:tc>
        <w:tc>
          <w:tcPr>
            <w:tcW w:w="1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(21,832)</w:t>
            </w: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92,596</w:t>
            </w:r>
          </w:p>
        </w:tc>
        <w:tc>
          <w:tcPr>
            <w:tcW w:w="0" w:type="dxa"/>
            <w:vAlign w:val="bottom"/>
          </w:tcPr>
          <w:p>
            <w:pPr>
              <w:spacing w:after="0"/>
              <w:rPr>
                <w:sz w:val="1"/>
                <w:szCs w:val="1"/>
                <w:color w:val="auto"/>
              </w:rPr>
            </w:pPr>
          </w:p>
        </w:tc>
      </w:tr>
      <w:tr>
        <w:trPr>
          <w:trHeight w:val="209"/>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Indefinite-lived intangible assets:</w:t>
            </w:r>
          </w:p>
        </w:tc>
        <w:tc>
          <w:tcPr>
            <w:tcW w:w="19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190,795</w:t>
            </w:r>
          </w:p>
        </w:tc>
        <w:tc>
          <w:tcPr>
            <w:tcW w:w="1360" w:type="dxa"/>
            <w:vAlign w:val="bottom"/>
            <w:tcBorders>
              <w:bottom w:val="single" w:sz="8" w:color="auto"/>
            </w:tcBorders>
            <w:shd w:val="clear" w:color="auto" w:fill="CCEEFF"/>
          </w:tcPr>
          <w:p>
            <w:pPr>
              <w:jc w:val="right"/>
              <w:ind w:right="1142"/>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(21,832)</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168,963</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December 31, 2025, $13.4 million of finite-lived assets and $21.8 million of AEC goodwill related to the Amelia Earhart Drive facility were reclassified to held for sale. As of September 30, 2026, these amounts were reclassified back into their respective line items on the balance sheet.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intangible assets, net and goodwill from December 31, 2025 to September 30, 2026,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6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vMerge w:val="restart"/>
          </w:tcPr>
          <w:p>
            <w:pPr>
              <w:jc w:val="right"/>
              <w:ind w:right="81"/>
              <w:spacing w:after="0"/>
              <w:rPr>
                <w:sz w:val="20"/>
                <w:szCs w:val="20"/>
                <w:color w:val="auto"/>
              </w:rPr>
            </w:pPr>
            <w:r>
              <w:rPr>
                <w:rFonts w:ascii="Arial" w:cs="Arial" w:eastAsia="Arial" w:hAnsi="Arial"/>
                <w:sz w:val="14"/>
                <w:szCs w:val="14"/>
                <w:b w:val="1"/>
                <w:bCs w:val="1"/>
                <w:color w:val="auto"/>
              </w:rPr>
              <w:t>December 31,</w:t>
            </w:r>
          </w:p>
        </w:tc>
        <w:tc>
          <w:tcPr>
            <w:tcW w:w="132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Reclassified from</w:t>
            </w:r>
          </w:p>
        </w:tc>
        <w:tc>
          <w:tcPr>
            <w:tcW w:w="2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vMerge w:val="restart"/>
          </w:tcPr>
          <w:p>
            <w:pPr>
              <w:jc w:val="right"/>
              <w:ind w:right="261"/>
              <w:spacing w:after="0"/>
              <w:rPr>
                <w:sz w:val="20"/>
                <w:szCs w:val="20"/>
                <w:color w:val="auto"/>
              </w:rPr>
            </w:pPr>
            <w:r>
              <w:rPr>
                <w:rFonts w:ascii="Arial" w:cs="Arial" w:eastAsia="Arial" w:hAnsi="Arial"/>
                <w:sz w:val="14"/>
                <w:szCs w:val="14"/>
                <w:b w:val="1"/>
                <w:bCs w:val="1"/>
                <w:color w:val="auto"/>
              </w:rPr>
              <w:t>Currency</w:t>
            </w:r>
          </w:p>
        </w:tc>
        <w:tc>
          <w:tcPr>
            <w:tcW w:w="1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vMerge w:val="restart"/>
          </w:tcPr>
          <w:p>
            <w:pPr>
              <w:jc w:val="right"/>
              <w:ind w:right="8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4"/>
        </w:trPr>
        <w:tc>
          <w:tcPr>
            <w:tcW w:w="3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1"/>
              <w:spacing w:after="0" w:line="145" w:lineRule="exact"/>
              <w:rPr>
                <w:sz w:val="20"/>
                <w:szCs w:val="20"/>
                <w:color w:val="auto"/>
              </w:rPr>
            </w:pPr>
            <w:r>
              <w:rPr>
                <w:rFonts w:ascii="Arial" w:cs="Arial" w:eastAsia="Arial" w:hAnsi="Arial"/>
                <w:sz w:val="14"/>
                <w:szCs w:val="14"/>
                <w:b w:val="1"/>
                <w:bCs w:val="1"/>
                <w:color w:val="auto"/>
              </w:rPr>
              <w:t>Assets Held for</w:t>
            </w:r>
          </w:p>
        </w:tc>
        <w:tc>
          <w:tcPr>
            <w:tcW w:w="200" w:type="dxa"/>
            <w:vAlign w:val="bottom"/>
          </w:tcPr>
          <w:p>
            <w:pPr>
              <w:spacing w:after="0"/>
              <w:rPr>
                <w:sz w:val="12"/>
                <w:szCs w:val="12"/>
                <w:color w:val="auto"/>
              </w:rPr>
            </w:pPr>
          </w:p>
        </w:tc>
        <w:tc>
          <w:tcPr>
            <w:tcW w:w="11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62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2025</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rPr>
              <w:t>Sale</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Translation</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2026</w:t>
            </w: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Finite-lived intangible assets:</w:t>
            </w:r>
          </w:p>
        </w:tc>
        <w:tc>
          <w:tcPr>
            <w:tcW w:w="1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20"/>
              <w:spacing w:after="0"/>
              <w:rPr>
                <w:sz w:val="20"/>
                <w:szCs w:val="20"/>
                <w:color w:val="auto"/>
              </w:rPr>
            </w:pPr>
            <w:r>
              <w:rPr>
                <w:rFonts w:ascii="Arial" w:cs="Arial" w:eastAsia="Arial" w:hAnsi="Arial"/>
                <w:sz w:val="16"/>
                <w:szCs w:val="16"/>
                <w:color w:val="auto"/>
              </w:rPr>
              <w:t>AEC Trademarks and trade names</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1340" w:type="dxa"/>
            <w:vAlign w:val="bottom"/>
            <w:gridSpan w:val="2"/>
          </w:tcPr>
          <w:p>
            <w:pPr>
              <w:ind w:left="920"/>
              <w:spacing w:after="0"/>
              <w:rPr>
                <w:sz w:val="20"/>
                <w:szCs w:val="20"/>
                <w:color w:val="auto"/>
              </w:rPr>
            </w:pPr>
            <w:r>
              <w:rPr>
                <w:rFonts w:ascii="Arial" w:cs="Arial" w:eastAsia="Arial" w:hAnsi="Arial"/>
                <w:sz w:val="16"/>
                <w:szCs w:val="16"/>
                <w:color w:val="auto"/>
              </w:rPr>
              <w:t>— $</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w:t>
            </w:r>
          </w:p>
        </w:tc>
        <w:tc>
          <w:tcPr>
            <w:tcW w:w="118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AEC Technology</w:t>
            </w:r>
          </w:p>
        </w:tc>
        <w:tc>
          <w:tcPr>
            <w:tcW w:w="1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2,416</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1,885</w:t>
            </w:r>
          </w:p>
        </w:tc>
        <w:tc>
          <w:tcPr>
            <w:tcW w:w="0" w:type="dxa"/>
            <w:vAlign w:val="bottom"/>
          </w:tcPr>
          <w:p>
            <w:pPr>
              <w:spacing w:after="0"/>
              <w:rPr>
                <w:sz w:val="1"/>
                <w:szCs w:val="1"/>
                <w:color w:val="auto"/>
              </w:rPr>
            </w:pPr>
          </w:p>
        </w:tc>
      </w:tr>
      <w:tr>
        <w:trPr>
          <w:trHeight w:val="216"/>
        </w:trPr>
        <w:tc>
          <w:tcPr>
            <w:tcW w:w="3620" w:type="dxa"/>
            <w:vAlign w:val="bottom"/>
          </w:tcPr>
          <w:p>
            <w:pPr>
              <w:ind w:left="20"/>
              <w:spacing w:after="0"/>
              <w:rPr>
                <w:sz w:val="20"/>
                <w:szCs w:val="20"/>
                <w:color w:val="auto"/>
              </w:rPr>
            </w:pPr>
            <w:r>
              <w:rPr>
                <w:rFonts w:ascii="Arial" w:cs="Arial" w:eastAsia="Arial" w:hAnsi="Arial"/>
                <w:sz w:val="16"/>
                <w:szCs w:val="16"/>
                <w:color w:val="auto"/>
              </w:rPr>
              <w:t>AEC Intellectual property</w:t>
            </w:r>
          </w:p>
        </w:tc>
        <w:tc>
          <w:tcPr>
            <w:tcW w:w="1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745</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(64)</w:t>
            </w:r>
          </w:p>
        </w:tc>
        <w:tc>
          <w:tcPr>
            <w:tcW w:w="20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b w:val="1"/>
                <w:bCs w:val="1"/>
                <w:color w:val="auto"/>
              </w:rPr>
              <w:t>681</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AEC Customer relationships</w:t>
            </w:r>
          </w:p>
        </w:tc>
        <w:tc>
          <w:tcPr>
            <w:tcW w:w="1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5,229</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13,384</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(2,618)</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15,939</w:t>
            </w:r>
          </w:p>
        </w:tc>
        <w:tc>
          <w:tcPr>
            <w:tcW w:w="0" w:type="dxa"/>
            <w:vAlign w:val="bottom"/>
          </w:tcPr>
          <w:p>
            <w:pPr>
              <w:spacing w:after="0"/>
              <w:rPr>
                <w:sz w:val="1"/>
                <w:szCs w:val="1"/>
                <w:color w:val="auto"/>
              </w:rPr>
            </w:pPr>
          </w:p>
        </w:tc>
      </w:tr>
      <w:tr>
        <w:trPr>
          <w:trHeight w:val="216"/>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Heimbach Developed technology</w:t>
            </w:r>
          </w:p>
        </w:tc>
        <w:tc>
          <w:tcPr>
            <w:tcW w:w="1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6,582</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5,671</w:t>
            </w:r>
          </w:p>
        </w:tc>
        <w:tc>
          <w:tcPr>
            <w:tcW w:w="0" w:type="dxa"/>
            <w:vAlign w:val="bottom"/>
          </w:tcPr>
          <w:p>
            <w:pPr>
              <w:spacing w:after="0"/>
              <w:rPr>
                <w:sz w:val="1"/>
                <w:szCs w:val="1"/>
                <w:color w:val="auto"/>
              </w:rPr>
            </w:pPr>
          </w:p>
        </w:tc>
      </w:tr>
      <w:tr>
        <w:trPr>
          <w:trHeight w:val="210"/>
        </w:trPr>
        <w:tc>
          <w:tcPr>
            <w:tcW w:w="3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Finite-lived intangible assets</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14,972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13,384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24,176</w:t>
            </w:r>
          </w:p>
        </w:tc>
        <w:tc>
          <w:tcPr>
            <w:tcW w:w="0" w:type="dxa"/>
            <w:vAlign w:val="bottom"/>
          </w:tcPr>
          <w:p>
            <w:pPr>
              <w:spacing w:after="0"/>
              <w:rPr>
                <w:sz w:val="1"/>
                <w:szCs w:val="1"/>
                <w:color w:val="auto"/>
              </w:rPr>
            </w:pPr>
          </w:p>
        </w:tc>
      </w:tr>
      <w:tr>
        <w:trPr>
          <w:trHeight w:val="237"/>
        </w:trPr>
        <w:tc>
          <w:tcPr>
            <w:tcW w:w="36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1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20"/>
              <w:spacing w:after="0"/>
              <w:rPr>
                <w:sz w:val="20"/>
                <w:szCs w:val="20"/>
                <w:color w:val="auto"/>
              </w:rPr>
            </w:pPr>
            <w:r>
              <w:rPr>
                <w:rFonts w:ascii="Arial" w:cs="Arial" w:eastAsia="Arial" w:hAnsi="Arial"/>
                <w:sz w:val="16"/>
                <w:szCs w:val="16"/>
                <w:color w:val="auto"/>
              </w:rPr>
              <w:t>Heimbach Trade name</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6,456</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1340" w:type="dxa"/>
            <w:vAlign w:val="bottom"/>
            <w:gridSpan w:val="2"/>
          </w:tcPr>
          <w:p>
            <w:pPr>
              <w:ind w:left="920"/>
              <w:spacing w:after="0"/>
              <w:rPr>
                <w:sz w:val="20"/>
                <w:szCs w:val="20"/>
                <w:color w:val="auto"/>
              </w:rPr>
            </w:pPr>
            <w:r>
              <w:rPr>
                <w:rFonts w:ascii="Arial" w:cs="Arial" w:eastAsia="Arial" w:hAnsi="Arial"/>
                <w:sz w:val="16"/>
                <w:szCs w:val="16"/>
                <w:color w:val="auto"/>
              </w:rPr>
              <w:t>— $</w:t>
            </w:r>
          </w:p>
        </w:tc>
        <w:tc>
          <w:tcPr>
            <w:tcW w:w="1140" w:type="dxa"/>
            <w:vAlign w:val="bottom"/>
          </w:tcPr>
          <w:p>
            <w:pPr>
              <w:jc w:val="right"/>
              <w:spacing w:after="0"/>
              <w:rPr>
                <w:sz w:val="20"/>
                <w:szCs w:val="20"/>
                <w:color w:val="auto"/>
              </w:rPr>
            </w:pPr>
            <w:r>
              <w:rPr>
                <w:rFonts w:ascii="Arial" w:cs="Arial" w:eastAsia="Arial" w:hAnsi="Arial"/>
                <w:sz w:val="16"/>
                <w:szCs w:val="16"/>
                <w:color w:val="auto"/>
              </w:rPr>
              <w:t>(221)</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ind w:right="1"/>
              <w:spacing w:after="0"/>
              <w:rPr>
                <w:sz w:val="20"/>
                <w:szCs w:val="20"/>
                <w:color w:val="auto"/>
              </w:rPr>
            </w:pPr>
            <w:r>
              <w:rPr>
                <w:rFonts w:ascii="Arial" w:cs="Arial" w:eastAsia="Arial" w:hAnsi="Arial"/>
                <w:sz w:val="16"/>
                <w:szCs w:val="16"/>
                <w:b w:val="1"/>
                <w:bCs w:val="1"/>
                <w:color w:val="auto"/>
              </w:rPr>
              <w:t>6,235</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MC Goodwill</w:t>
            </w:r>
          </w:p>
        </w:tc>
        <w:tc>
          <w:tcPr>
            <w:tcW w:w="1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69,911</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(1,695)</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68,216</w:t>
            </w:r>
          </w:p>
        </w:tc>
        <w:tc>
          <w:tcPr>
            <w:tcW w:w="0" w:type="dxa"/>
            <w:vAlign w:val="bottom"/>
          </w:tcPr>
          <w:p>
            <w:pPr>
              <w:spacing w:after="0"/>
              <w:rPr>
                <w:sz w:val="1"/>
                <w:szCs w:val="1"/>
                <w:color w:val="auto"/>
              </w:rPr>
            </w:pPr>
          </w:p>
        </w:tc>
      </w:tr>
      <w:tr>
        <w:trPr>
          <w:trHeight w:val="216"/>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AEC Goodwill</w:t>
            </w:r>
          </w:p>
        </w:tc>
        <w:tc>
          <w:tcPr>
            <w:tcW w:w="1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92,596</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21,829</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9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113,795</w:t>
            </w:r>
          </w:p>
        </w:tc>
        <w:tc>
          <w:tcPr>
            <w:tcW w:w="0" w:type="dxa"/>
            <w:vAlign w:val="bottom"/>
          </w:tcPr>
          <w:p>
            <w:pPr>
              <w:spacing w:after="0"/>
              <w:rPr>
                <w:sz w:val="1"/>
                <w:szCs w:val="1"/>
                <w:color w:val="auto"/>
              </w:rPr>
            </w:pPr>
          </w:p>
        </w:tc>
      </w:tr>
      <w:tr>
        <w:trPr>
          <w:trHeight w:val="210"/>
        </w:trPr>
        <w:tc>
          <w:tcPr>
            <w:tcW w:w="3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Indefinite-lived assets:</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168,963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21,829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188,246</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Goodwill represents the excess of the purchase price over the fair value of the net tangible and identifiable intangible assets acquired in each business combination. Goodwill and intangible assets with indefinite useful lives are not amortized, but are tested for impairment at least annually.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15. Financial Instruments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Company's outstanding debt: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interest rates)</w:t>
            </w:r>
          </w:p>
        </w:tc>
        <w:tc>
          <w:tcPr>
            <w:tcW w:w="214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September 30, 2026</w:t>
            </w:r>
          </w:p>
        </w:tc>
        <w:tc>
          <w:tcPr>
            <w:tcW w:w="20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December 31, 2025</w:t>
            </w:r>
          </w:p>
        </w:tc>
      </w:tr>
      <w:tr>
        <w:trPr>
          <w:trHeight w:val="210"/>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Borrowings under the Amended Credit Agreement</w:t>
            </w:r>
          </w:p>
        </w:tc>
        <w:tc>
          <w:tcPr>
            <w:tcW w:w="21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16"/>
        </w:trPr>
        <w:tc>
          <w:tcPr>
            <w:tcW w:w="5620" w:type="dxa"/>
            <w:vAlign w:val="bottom"/>
          </w:tcPr>
          <w:p>
            <w:pPr>
              <w:ind w:left="20"/>
              <w:spacing w:after="0"/>
              <w:rPr>
                <w:sz w:val="20"/>
                <w:szCs w:val="20"/>
                <w:color w:val="auto"/>
              </w:rPr>
            </w:pPr>
            <w:r>
              <w:rPr>
                <w:rFonts w:ascii="Arial" w:cs="Arial" w:eastAsia="Arial" w:hAnsi="Arial"/>
                <w:sz w:val="16"/>
                <w:szCs w:val="16"/>
                <w:color w:val="auto"/>
              </w:rPr>
              <w:t>USD borrowings</w:t>
            </w:r>
          </w:p>
        </w:tc>
        <w:tc>
          <w:tcPr>
            <w:tcW w:w="2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20" w:type="dxa"/>
            <w:vAlign w:val="bottom"/>
          </w:tcPr>
          <w:p>
            <w:pPr>
              <w:jc w:val="right"/>
              <w:spacing w:after="0"/>
              <w:rPr>
                <w:sz w:val="20"/>
                <w:szCs w:val="20"/>
                <w:color w:val="auto"/>
              </w:rPr>
            </w:pPr>
            <w:r>
              <w:rPr>
                <w:rFonts w:ascii="Arial" w:cs="Arial" w:eastAsia="Arial" w:hAnsi="Arial"/>
                <w:sz w:val="16"/>
                <w:szCs w:val="16"/>
                <w:b w:val="1"/>
                <w:bCs w:val="1"/>
                <w:color w:val="auto"/>
              </w:rPr>
              <w:t>320,000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1"/>
              <w:spacing w:after="0"/>
              <w:rPr>
                <w:sz w:val="20"/>
                <w:szCs w:val="20"/>
                <w:color w:val="auto"/>
              </w:rPr>
            </w:pPr>
            <w:r>
              <w:rPr>
                <w:rFonts w:ascii="Arial" w:cs="Arial" w:eastAsia="Arial" w:hAnsi="Arial"/>
                <w:sz w:val="16"/>
                <w:szCs w:val="16"/>
                <w:color w:val="auto"/>
              </w:rPr>
              <w:t>350,000</w:t>
            </w:r>
          </w:p>
        </w:tc>
      </w:tr>
      <w:tr>
        <w:trPr>
          <w:trHeight w:val="216"/>
        </w:trPr>
        <w:tc>
          <w:tcPr>
            <w:tcW w:w="5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EUR borrowings</w:t>
            </w:r>
          </w:p>
        </w:tc>
        <w:tc>
          <w:tcPr>
            <w:tcW w:w="21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102,087</w:t>
            </w:r>
          </w:p>
        </w:tc>
        <w:tc>
          <w:tcPr>
            <w:tcW w:w="2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105,663</w:t>
            </w:r>
          </w:p>
        </w:tc>
      </w:tr>
      <w:tr>
        <w:trPr>
          <w:trHeight w:val="210"/>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bank debt</w:t>
            </w:r>
          </w:p>
        </w:tc>
        <w:tc>
          <w:tcPr>
            <w:tcW w:w="2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422,087</w:t>
            </w: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455,663</w:t>
            </w:r>
          </w:p>
        </w:tc>
      </w:tr>
    </w:tbl>
    <w:p>
      <w:pPr>
        <w:spacing w:after="0" w:line="200" w:lineRule="exact"/>
        <w:rPr>
          <w:sz w:val="20"/>
          <w:szCs w:val="20"/>
          <w:color w:val="auto"/>
        </w:rPr>
      </w:pP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Credit Agreement</w:t>
      </w:r>
    </w:p>
    <w:p>
      <w:pPr>
        <w:spacing w:after="0" w:line="11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On August 16, 2023, we entered into a $800 million unsecured committed Five-Year Revolving Credit Facility Agreement, amended on June 28, 2024 (collectively, the “Amended Credit Agreement”), which matures in August of 2028.</w:t>
      </w:r>
    </w:p>
    <w:p>
      <w:pPr>
        <w:spacing w:after="0" w:line="4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applicable interest rate for borrowings under the Amended Credit Agreement is based on both Term SOFR and EURIBOR plus a spread, which is based on our leverage ratio (as defined in the Amended Credit Agreement) at the time of a borrowing as follows: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020" w:type="dxa"/>
            <w:vAlign w:val="bottom"/>
            <w:tcBorders>
              <w:top w:val="single" w:sz="8" w:color="auto"/>
            </w:tcBorders>
            <w:vMerge w:val="restart"/>
          </w:tcPr>
          <w:p>
            <w:pPr>
              <w:jc w:val="center"/>
              <w:ind w:right="121"/>
              <w:spacing w:after="0"/>
              <w:rPr>
                <w:sz w:val="20"/>
                <w:szCs w:val="20"/>
                <w:color w:val="auto"/>
              </w:rPr>
            </w:pPr>
            <w:r>
              <w:rPr>
                <w:rFonts w:ascii="Arial" w:cs="Arial" w:eastAsia="Arial" w:hAnsi="Arial"/>
                <w:sz w:val="14"/>
                <w:szCs w:val="14"/>
                <w:b w:val="1"/>
                <w:bCs w:val="1"/>
                <w:color w:val="auto"/>
              </w:rPr>
              <w:t>Leverage Ratio</w:t>
            </w:r>
          </w:p>
        </w:tc>
        <w:tc>
          <w:tcPr>
            <w:tcW w:w="2680" w:type="dxa"/>
            <w:vAlign w:val="bottom"/>
            <w:tcBorders>
              <w:top w:val="single" w:sz="8" w:color="auto"/>
            </w:tcBorders>
            <w:vMerge w:val="restart"/>
          </w:tcPr>
          <w:p>
            <w:pPr>
              <w:jc w:val="center"/>
              <w:ind w:right="201"/>
              <w:spacing w:after="0"/>
              <w:rPr>
                <w:sz w:val="20"/>
                <w:szCs w:val="20"/>
                <w:color w:val="auto"/>
              </w:rPr>
            </w:pPr>
            <w:r>
              <w:rPr>
                <w:rFonts w:ascii="Arial" w:cs="Arial" w:eastAsia="Arial" w:hAnsi="Arial"/>
                <w:sz w:val="14"/>
                <w:szCs w:val="14"/>
                <w:b w:val="1"/>
                <w:bCs w:val="1"/>
                <w:color w:val="auto"/>
              </w:rPr>
              <w:t>Commitment Fee</w:t>
            </w:r>
          </w:p>
        </w:tc>
        <w:tc>
          <w:tcPr>
            <w:tcW w:w="2540" w:type="dxa"/>
            <w:vAlign w:val="bottom"/>
            <w:tcBorders>
              <w:top w:val="single" w:sz="8" w:color="auto"/>
            </w:tcBorders>
            <w:vMerge w:val="restart"/>
          </w:tcPr>
          <w:p>
            <w:pPr>
              <w:jc w:val="center"/>
              <w:ind w:left="21"/>
              <w:spacing w:after="0"/>
              <w:rPr>
                <w:sz w:val="20"/>
                <w:szCs w:val="20"/>
                <w:color w:val="auto"/>
              </w:rPr>
            </w:pPr>
            <w:r>
              <w:rPr>
                <w:rFonts w:ascii="Arial" w:cs="Arial" w:eastAsia="Arial" w:hAnsi="Arial"/>
                <w:sz w:val="14"/>
                <w:szCs w:val="14"/>
                <w:b w:val="1"/>
                <w:bCs w:val="1"/>
                <w:color w:val="auto"/>
              </w:rPr>
              <w:t>ABR Spread</w:t>
            </w:r>
          </w:p>
        </w:tc>
        <w:tc>
          <w:tcPr>
            <w:tcW w:w="3000" w:type="dxa"/>
            <w:vAlign w:val="bottom"/>
            <w:tcBorders>
              <w:top w:val="single" w:sz="8" w:color="auto"/>
            </w:tcBorders>
          </w:tcPr>
          <w:p>
            <w:pPr>
              <w:jc w:val="center"/>
              <w:ind w:left="122"/>
              <w:spacing w:after="0"/>
              <w:rPr>
                <w:sz w:val="20"/>
                <w:szCs w:val="20"/>
                <w:color w:val="auto"/>
              </w:rPr>
            </w:pPr>
            <w:r>
              <w:rPr>
                <w:rFonts w:ascii="Arial" w:cs="Arial" w:eastAsia="Arial" w:hAnsi="Arial"/>
                <w:sz w:val="14"/>
                <w:szCs w:val="14"/>
                <w:b w:val="1"/>
                <w:bCs w:val="1"/>
                <w:color w:val="auto"/>
              </w:rPr>
              <w:t>Term Benchmark/ Daily</w:t>
            </w:r>
          </w:p>
        </w:tc>
        <w:tc>
          <w:tcPr>
            <w:tcW w:w="0" w:type="dxa"/>
            <w:vAlign w:val="bottom"/>
          </w:tcPr>
          <w:p>
            <w:pPr>
              <w:spacing w:after="0"/>
              <w:rPr>
                <w:sz w:val="1"/>
                <w:szCs w:val="1"/>
                <w:color w:val="auto"/>
              </w:rPr>
            </w:pPr>
          </w:p>
        </w:tc>
      </w:tr>
      <w:tr>
        <w:trPr>
          <w:trHeight w:val="185"/>
        </w:trPr>
        <w:tc>
          <w:tcPr>
            <w:tcW w:w="3020" w:type="dxa"/>
            <w:vAlign w:val="bottom"/>
            <w:tcBorders>
              <w:bottom w:val="single" w:sz="8" w:color="auto"/>
            </w:tcBorders>
            <w:vMerge w:val="continue"/>
          </w:tcPr>
          <w:p>
            <w:pPr>
              <w:spacing w:after="0"/>
              <w:rPr>
                <w:sz w:val="16"/>
                <w:szCs w:val="16"/>
                <w:color w:val="auto"/>
              </w:rPr>
            </w:pPr>
          </w:p>
        </w:tc>
        <w:tc>
          <w:tcPr>
            <w:tcW w:w="2680" w:type="dxa"/>
            <w:vAlign w:val="bottom"/>
            <w:tcBorders>
              <w:bottom w:val="single" w:sz="8" w:color="auto"/>
            </w:tcBorders>
            <w:vMerge w:val="continue"/>
          </w:tcPr>
          <w:p>
            <w:pPr>
              <w:spacing w:after="0"/>
              <w:rPr>
                <w:sz w:val="16"/>
                <w:szCs w:val="16"/>
                <w:color w:val="auto"/>
              </w:rPr>
            </w:pPr>
          </w:p>
        </w:tc>
        <w:tc>
          <w:tcPr>
            <w:tcW w:w="2540" w:type="dxa"/>
            <w:vAlign w:val="bottom"/>
            <w:tcBorders>
              <w:bottom w:val="single" w:sz="8" w:color="auto"/>
            </w:tcBorders>
            <w:vMerge w:val="continue"/>
          </w:tcPr>
          <w:p>
            <w:pPr>
              <w:spacing w:after="0"/>
              <w:rPr>
                <w:sz w:val="16"/>
                <w:szCs w:val="16"/>
                <w:color w:val="auto"/>
              </w:rPr>
            </w:pPr>
          </w:p>
        </w:tc>
        <w:tc>
          <w:tcPr>
            <w:tcW w:w="300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rPr>
              <w:t>Simple SOFR Spread</w:t>
            </w: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jc w:val="right"/>
              <w:ind w:right="1141"/>
              <w:spacing w:after="0"/>
              <w:rPr>
                <w:sz w:val="20"/>
                <w:szCs w:val="20"/>
                <w:color w:val="auto"/>
              </w:rPr>
            </w:pPr>
            <w:r>
              <w:rPr>
                <w:rFonts w:ascii="Arial" w:cs="Arial" w:eastAsia="Arial" w:hAnsi="Arial"/>
                <w:sz w:val="16"/>
                <w:szCs w:val="16"/>
                <w:color w:val="auto"/>
              </w:rPr>
              <w:t>&lt;1.00:1.00</w:t>
            </w:r>
          </w:p>
        </w:tc>
        <w:tc>
          <w:tcPr>
            <w:tcW w:w="2680" w:type="dxa"/>
            <w:vAlign w:val="bottom"/>
            <w:shd w:val="clear" w:color="auto" w:fill="CCEEFF"/>
          </w:tcPr>
          <w:p>
            <w:pPr>
              <w:jc w:val="center"/>
              <w:ind w:right="201"/>
              <w:spacing w:after="0"/>
              <w:rPr>
                <w:sz w:val="20"/>
                <w:szCs w:val="20"/>
                <w:color w:val="auto"/>
              </w:rPr>
            </w:pPr>
            <w:r>
              <w:rPr>
                <w:rFonts w:ascii="Arial" w:cs="Arial" w:eastAsia="Arial" w:hAnsi="Arial"/>
                <w:sz w:val="16"/>
                <w:szCs w:val="16"/>
                <w:color w:val="auto"/>
              </w:rPr>
              <w:t>0.275%</w:t>
            </w:r>
          </w:p>
        </w:tc>
        <w:tc>
          <w:tcPr>
            <w:tcW w:w="2540" w:type="dxa"/>
            <w:vAlign w:val="bottom"/>
            <w:shd w:val="clear" w:color="auto" w:fill="CCEEFF"/>
          </w:tcPr>
          <w:p>
            <w:pPr>
              <w:jc w:val="center"/>
              <w:ind w:left="41"/>
              <w:spacing w:after="0"/>
              <w:rPr>
                <w:sz w:val="20"/>
                <w:szCs w:val="20"/>
                <w:color w:val="auto"/>
              </w:rPr>
            </w:pPr>
            <w:r>
              <w:rPr>
                <w:rFonts w:ascii="Arial" w:cs="Arial" w:eastAsia="Arial" w:hAnsi="Arial"/>
                <w:sz w:val="16"/>
                <w:szCs w:val="16"/>
                <w:color w:val="auto"/>
                <w:w w:val="99"/>
              </w:rPr>
              <w:t>0.500%</w:t>
            </w:r>
          </w:p>
        </w:tc>
        <w:tc>
          <w:tcPr>
            <w:tcW w:w="3000" w:type="dxa"/>
            <w:vAlign w:val="bottom"/>
            <w:shd w:val="clear" w:color="auto" w:fill="CCEEFF"/>
          </w:tcPr>
          <w:p>
            <w:pPr>
              <w:jc w:val="center"/>
              <w:ind w:left="122"/>
              <w:spacing w:after="0"/>
              <w:rPr>
                <w:sz w:val="20"/>
                <w:szCs w:val="20"/>
                <w:color w:val="auto"/>
              </w:rPr>
            </w:pPr>
            <w:r>
              <w:rPr>
                <w:rFonts w:ascii="Arial" w:cs="Arial" w:eastAsia="Arial" w:hAnsi="Arial"/>
                <w:sz w:val="16"/>
                <w:szCs w:val="16"/>
                <w:color w:val="auto"/>
              </w:rPr>
              <w:t>1.500%</w:t>
            </w:r>
          </w:p>
        </w:tc>
        <w:tc>
          <w:tcPr>
            <w:tcW w:w="0" w:type="dxa"/>
            <w:vAlign w:val="bottom"/>
          </w:tcPr>
          <w:p>
            <w:pPr>
              <w:spacing w:after="0"/>
              <w:rPr>
                <w:sz w:val="1"/>
                <w:szCs w:val="1"/>
                <w:color w:val="auto"/>
              </w:rPr>
            </w:pPr>
          </w:p>
        </w:tc>
      </w:tr>
      <w:tr>
        <w:trPr>
          <w:trHeight w:val="215"/>
        </w:trPr>
        <w:tc>
          <w:tcPr>
            <w:tcW w:w="3020" w:type="dxa"/>
            <w:vAlign w:val="bottom"/>
          </w:tcPr>
          <w:p>
            <w:pPr>
              <w:jc w:val="center"/>
              <w:ind w:right="121"/>
              <w:spacing w:after="0"/>
              <w:rPr>
                <w:sz w:val="20"/>
                <w:szCs w:val="20"/>
                <w:color w:val="auto"/>
              </w:rPr>
            </w:pPr>
            <w:r>
              <w:rPr>
                <w:rFonts w:ascii="Arial" w:cs="Arial" w:eastAsia="Arial" w:hAnsi="Arial"/>
                <w:sz w:val="16"/>
                <w:szCs w:val="16"/>
                <w:color w:val="auto"/>
              </w:rPr>
              <w:t>≥ 1.00:1.00 and &lt; 2.00:1.00</w:t>
            </w:r>
          </w:p>
        </w:tc>
        <w:tc>
          <w:tcPr>
            <w:tcW w:w="2680" w:type="dxa"/>
            <w:vAlign w:val="bottom"/>
          </w:tcPr>
          <w:p>
            <w:pPr>
              <w:jc w:val="center"/>
              <w:ind w:right="201"/>
              <w:spacing w:after="0"/>
              <w:rPr>
                <w:sz w:val="20"/>
                <w:szCs w:val="20"/>
                <w:color w:val="auto"/>
              </w:rPr>
            </w:pPr>
            <w:r>
              <w:rPr>
                <w:rFonts w:ascii="Arial" w:cs="Arial" w:eastAsia="Arial" w:hAnsi="Arial"/>
                <w:sz w:val="16"/>
                <w:szCs w:val="16"/>
                <w:color w:val="auto"/>
              </w:rPr>
              <w:t>0.300%</w:t>
            </w:r>
          </w:p>
        </w:tc>
        <w:tc>
          <w:tcPr>
            <w:tcW w:w="2540" w:type="dxa"/>
            <w:vAlign w:val="bottom"/>
          </w:tcPr>
          <w:p>
            <w:pPr>
              <w:jc w:val="center"/>
              <w:ind w:left="41"/>
              <w:spacing w:after="0"/>
              <w:rPr>
                <w:sz w:val="20"/>
                <w:szCs w:val="20"/>
                <w:color w:val="auto"/>
              </w:rPr>
            </w:pPr>
            <w:r>
              <w:rPr>
                <w:rFonts w:ascii="Arial" w:cs="Arial" w:eastAsia="Arial" w:hAnsi="Arial"/>
                <w:sz w:val="16"/>
                <w:szCs w:val="16"/>
                <w:color w:val="auto"/>
                <w:w w:val="99"/>
              </w:rPr>
              <w:t>0.625%</w:t>
            </w:r>
          </w:p>
        </w:tc>
        <w:tc>
          <w:tcPr>
            <w:tcW w:w="3000" w:type="dxa"/>
            <w:vAlign w:val="bottom"/>
          </w:tcPr>
          <w:p>
            <w:pPr>
              <w:jc w:val="center"/>
              <w:ind w:left="122"/>
              <w:spacing w:after="0"/>
              <w:rPr>
                <w:sz w:val="20"/>
                <w:szCs w:val="20"/>
                <w:color w:val="auto"/>
              </w:rPr>
            </w:pPr>
            <w:r>
              <w:rPr>
                <w:rFonts w:ascii="Arial" w:cs="Arial" w:eastAsia="Arial" w:hAnsi="Arial"/>
                <w:sz w:val="16"/>
                <w:szCs w:val="16"/>
                <w:color w:val="auto"/>
              </w:rPr>
              <w:t>1.625%</w:t>
            </w:r>
          </w:p>
        </w:tc>
        <w:tc>
          <w:tcPr>
            <w:tcW w:w="0" w:type="dxa"/>
            <w:vAlign w:val="bottom"/>
          </w:tcPr>
          <w:p>
            <w:pPr>
              <w:spacing w:after="0"/>
              <w:rPr>
                <w:sz w:val="1"/>
                <w:szCs w:val="1"/>
                <w:color w:val="auto"/>
              </w:rPr>
            </w:pPr>
          </w:p>
        </w:tc>
      </w:tr>
      <w:tr>
        <w:trPr>
          <w:trHeight w:val="217"/>
        </w:trPr>
        <w:tc>
          <w:tcPr>
            <w:tcW w:w="3020" w:type="dxa"/>
            <w:vAlign w:val="bottom"/>
            <w:shd w:val="clear" w:color="auto" w:fill="CCEEFF"/>
          </w:tcPr>
          <w:p>
            <w:pPr>
              <w:jc w:val="center"/>
              <w:ind w:right="121"/>
              <w:spacing w:after="0"/>
              <w:rPr>
                <w:sz w:val="20"/>
                <w:szCs w:val="20"/>
                <w:color w:val="auto"/>
              </w:rPr>
            </w:pPr>
            <w:r>
              <w:rPr>
                <w:rFonts w:ascii="Arial" w:cs="Arial" w:eastAsia="Arial" w:hAnsi="Arial"/>
                <w:sz w:val="16"/>
                <w:szCs w:val="16"/>
                <w:color w:val="auto"/>
              </w:rPr>
              <w:t>≥ 2.00:1.00 and &lt; 3.00:1.00</w:t>
            </w:r>
          </w:p>
        </w:tc>
        <w:tc>
          <w:tcPr>
            <w:tcW w:w="2680" w:type="dxa"/>
            <w:vAlign w:val="bottom"/>
            <w:shd w:val="clear" w:color="auto" w:fill="CCEEFF"/>
          </w:tcPr>
          <w:p>
            <w:pPr>
              <w:jc w:val="center"/>
              <w:ind w:right="201"/>
              <w:spacing w:after="0"/>
              <w:rPr>
                <w:sz w:val="20"/>
                <w:szCs w:val="20"/>
                <w:color w:val="auto"/>
              </w:rPr>
            </w:pPr>
            <w:r>
              <w:rPr>
                <w:rFonts w:ascii="Arial" w:cs="Arial" w:eastAsia="Arial" w:hAnsi="Arial"/>
                <w:sz w:val="16"/>
                <w:szCs w:val="16"/>
                <w:color w:val="auto"/>
              </w:rPr>
              <w:t>0.325%</w:t>
            </w:r>
          </w:p>
        </w:tc>
        <w:tc>
          <w:tcPr>
            <w:tcW w:w="2540" w:type="dxa"/>
            <w:vAlign w:val="bottom"/>
            <w:shd w:val="clear" w:color="auto" w:fill="CCEEFF"/>
          </w:tcPr>
          <w:p>
            <w:pPr>
              <w:jc w:val="center"/>
              <w:ind w:left="41"/>
              <w:spacing w:after="0"/>
              <w:rPr>
                <w:sz w:val="20"/>
                <w:szCs w:val="20"/>
                <w:color w:val="auto"/>
              </w:rPr>
            </w:pPr>
            <w:r>
              <w:rPr>
                <w:rFonts w:ascii="Arial" w:cs="Arial" w:eastAsia="Arial" w:hAnsi="Arial"/>
                <w:sz w:val="16"/>
                <w:szCs w:val="16"/>
                <w:color w:val="auto"/>
                <w:w w:val="99"/>
              </w:rPr>
              <w:t>0.750%</w:t>
            </w:r>
          </w:p>
        </w:tc>
        <w:tc>
          <w:tcPr>
            <w:tcW w:w="3000" w:type="dxa"/>
            <w:vAlign w:val="bottom"/>
            <w:shd w:val="clear" w:color="auto" w:fill="CCEEFF"/>
          </w:tcPr>
          <w:p>
            <w:pPr>
              <w:jc w:val="center"/>
              <w:ind w:left="122"/>
              <w:spacing w:after="0"/>
              <w:rPr>
                <w:sz w:val="20"/>
                <w:szCs w:val="20"/>
                <w:color w:val="auto"/>
              </w:rPr>
            </w:pPr>
            <w:r>
              <w:rPr>
                <w:rFonts w:ascii="Arial" w:cs="Arial" w:eastAsia="Arial" w:hAnsi="Arial"/>
                <w:sz w:val="16"/>
                <w:szCs w:val="16"/>
                <w:color w:val="auto"/>
              </w:rPr>
              <w:t>1.750%</w:t>
            </w:r>
          </w:p>
        </w:tc>
        <w:tc>
          <w:tcPr>
            <w:tcW w:w="0" w:type="dxa"/>
            <w:vAlign w:val="bottom"/>
          </w:tcPr>
          <w:p>
            <w:pPr>
              <w:spacing w:after="0"/>
              <w:rPr>
                <w:sz w:val="1"/>
                <w:szCs w:val="1"/>
                <w:color w:val="auto"/>
              </w:rPr>
            </w:pPr>
          </w:p>
        </w:tc>
      </w:tr>
      <w:tr>
        <w:trPr>
          <w:trHeight w:val="215"/>
        </w:trPr>
        <w:tc>
          <w:tcPr>
            <w:tcW w:w="3020" w:type="dxa"/>
            <w:vAlign w:val="bottom"/>
            <w:tcBorders>
              <w:bottom w:val="single" w:sz="8" w:color="auto"/>
            </w:tcBorders>
          </w:tcPr>
          <w:p>
            <w:pPr>
              <w:jc w:val="center"/>
              <w:ind w:right="121"/>
              <w:spacing w:after="0"/>
              <w:rPr>
                <w:sz w:val="20"/>
                <w:szCs w:val="20"/>
                <w:color w:val="auto"/>
              </w:rPr>
            </w:pPr>
            <w:r>
              <w:rPr>
                <w:rFonts w:ascii="Arial" w:cs="Arial" w:eastAsia="Arial" w:hAnsi="Arial"/>
                <w:sz w:val="16"/>
                <w:szCs w:val="16"/>
                <w:color w:val="auto"/>
              </w:rPr>
              <w:t>≥ 3.00:1.00</w:t>
            </w:r>
          </w:p>
        </w:tc>
        <w:tc>
          <w:tcPr>
            <w:tcW w:w="2680" w:type="dxa"/>
            <w:vAlign w:val="bottom"/>
            <w:tcBorders>
              <w:bottom w:val="single" w:sz="8" w:color="auto"/>
            </w:tcBorders>
          </w:tcPr>
          <w:p>
            <w:pPr>
              <w:jc w:val="center"/>
              <w:ind w:right="201"/>
              <w:spacing w:after="0"/>
              <w:rPr>
                <w:sz w:val="20"/>
                <w:szCs w:val="20"/>
                <w:color w:val="auto"/>
              </w:rPr>
            </w:pPr>
            <w:r>
              <w:rPr>
                <w:rFonts w:ascii="Arial" w:cs="Arial" w:eastAsia="Arial" w:hAnsi="Arial"/>
                <w:sz w:val="16"/>
                <w:szCs w:val="16"/>
                <w:color w:val="auto"/>
              </w:rPr>
              <w:t>0.350%</w:t>
            </w:r>
          </w:p>
        </w:tc>
        <w:tc>
          <w:tcPr>
            <w:tcW w:w="2540" w:type="dxa"/>
            <w:vAlign w:val="bottom"/>
            <w:tcBorders>
              <w:bottom w:val="single" w:sz="8" w:color="auto"/>
            </w:tcBorders>
          </w:tcPr>
          <w:p>
            <w:pPr>
              <w:jc w:val="center"/>
              <w:ind w:left="41"/>
              <w:spacing w:after="0"/>
              <w:rPr>
                <w:sz w:val="20"/>
                <w:szCs w:val="20"/>
                <w:color w:val="auto"/>
              </w:rPr>
            </w:pPr>
            <w:r>
              <w:rPr>
                <w:rFonts w:ascii="Arial" w:cs="Arial" w:eastAsia="Arial" w:hAnsi="Arial"/>
                <w:sz w:val="16"/>
                <w:szCs w:val="16"/>
                <w:color w:val="auto"/>
                <w:w w:val="99"/>
              </w:rPr>
              <w:t>1.000%</w:t>
            </w:r>
          </w:p>
        </w:tc>
        <w:tc>
          <w:tcPr>
            <w:tcW w:w="3000" w:type="dxa"/>
            <w:vAlign w:val="bottom"/>
            <w:tcBorders>
              <w:bottom w:val="single" w:sz="8" w:color="auto"/>
            </w:tcBorders>
          </w:tcPr>
          <w:p>
            <w:pPr>
              <w:jc w:val="center"/>
              <w:ind w:left="122"/>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As of September 30, 2026, the applicable interest rate for borrowings under the Amended Credit Agreement was based on one-month term SOFR and one-month EURIBOR plus the spread, which was 1.625%</w:t>
      </w:r>
      <w:r>
        <w:rPr>
          <w:rFonts w:ascii="Times New Roman" w:cs="Times New Roman" w:eastAsia="Times New Roman" w:hAnsi="Times New Roman"/>
          <w:sz w:val="18"/>
          <w:szCs w:val="18"/>
          <w:color w:val="auto"/>
        </w:rPr>
        <w:t>.</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September 30, 2026, there was $422.1 million of borrowings outstanding under the Amended Credit Agreement and we had borrowings available of $377.9 million, based on our maximum leverage ratio and our Consolidated EBITDA (as defined in the Amended Credit Agreement).</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September 30, 2026 and December 31, 2025, the USD interest rate in effect was 5.61% and 5.56%, respectively, including the effect of interest rate swaps; at the end of September 30, 2026 and December 31, 2025, the EUR interest rate in effect was 3.96% and 3.73%, respectively, including the effect of interest rate swaps.</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Under the Amended Credit Agreement, we are required to maintain a leverage ratio (as defined in the Credit Agreement) of not greater than 3.75 to 1.00, or 4.25 to 1.00 after a significant acquisition. We are also required to maintain a minimum interest coverage ratio (as defined in the Credit Agreement) of greater than 3.00 to 1.00. If our leverage ratio exceeds 3.50 to 1.00, we will be restricted in paying dividends to a maximum amount of $40 million in a calendar year.</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September 30, 2026, our leverage ratio was 1.68 to 1.00 and our interest coverage ratio was 7.68 to 1.00. As of September 30, 2026, we were in compliance with all applicable covenants. We anticipate continued compliance in each of the next four quarters while continuing to monitor future compliance based on current and future economic conditions.</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borrowings are guaranteed by certain of the Company’s subsidiaries, including all significant U.S. subsidiaries (subject to certain exceptions), as defined in the Amended Credit Agreement. Our ability to borrow additional amounts under the Amended Credit Agreement is conditional upon the absence of any defaults, as well as the absence of any material adverse change (as defined in the Amended Credit Agreement).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From time to time, the Company enters into interest rate swap contracts to manage the interest rate risk associated with its outstanding variable-interest rate borrowings. Such contracts are intended to economically hedge the reference rate component of future interest payments associated with outstanding borrowings under the Company’s Amended Credit Agreement.</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second and third quarters of 2026, the Company entered into three USD and two EUR forward starting interest rate swap agreements with starting dates of November 15, 2026 and November 14, 2026, respectively. These instruments are intended to replace the Company's existing interest rate swap agreements upon their maturity on those same dates and are entered into for the purpose of managing the Company's exposure to variability in cash flows attributable to changes in benchmark interest rates. Changes in fair value during the forward period, from the trade date through the respective starting dates, will be recorded in other comprehensive income (loss).</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three USD forward starting interest rate swap agreements have three-year tenors and mature on November 15, 2029. The swaps have the effect of fixing the SOFR portion of the interest rate on a total of $175 million of USD indebtedness drawn under the Amended Credit Facility. Under these interest rate swap agreements, the Company pays a fixed rate and the counterparty pays a floating rate based on the one-month term SOFR rate, reset monthly. The two EUR forward starting interest rate swap agreements have three-year tenors and mature on November 14, 2029. The swaps have the effect of fixing the EURIBOR portion of the interest rate on a total of €45 million of EUR</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indebtedness drawn under the Amended Credit Facility. Under this agreement, the Company pays a fixed rate and the counterparty pays a floating rate based on the one-month EURIBOR rate, reset monthly.</w:t>
      </w:r>
    </w:p>
    <w:p>
      <w:pPr>
        <w:spacing w:after="0" w:line="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November, 2024, we entered into two interest rate swap agreements: A USD interest rate swap agreement and a EUR interest rate swap agreement. The USD interest rate swap agreement covers the period November 15, 2024 through November 15, 2026. This transaction has the effect of fixing the SOFR portion of the interest rate (before the credit spread) on $125 million of the US indebtedness drawn under the Amended Credit Facility. Under the terms of this transaction, the Company pays a fixed rate of 3.987% and our counterparty pays a floating rate based on the one-month SOFR rate at each monthly calculation date. The EUR interest rate swap agreement covers the period November 14, 2024 through November 15, 2026. This transaction has the effect of fixing the EURIBOR portion of the interest rate (before the credit spread) on EUR 45 million of the EUR indebtedness drawn under the Amended Credit Facility. Under the terms of this transaction, the Company pays a fixed rate of 2.277% and our counterparty pays a floating rate based on the one-month EURIBOR rate at each monthly calculation date.</w:t>
      </w:r>
    </w:p>
    <w:p>
      <w:pPr>
        <w:spacing w:after="0" w:line="7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These interest rate swaps are accounted for as a hedge of future cash flows, as further described in </w:t>
      </w:r>
      <w:r>
        <w:rPr>
          <w:rFonts w:ascii="Arial" w:cs="Arial" w:eastAsia="Arial" w:hAnsi="Arial"/>
          <w:sz w:val="18"/>
          <w:szCs w:val="18"/>
          <w:i w:val="1"/>
          <w:iCs w:val="1"/>
          <w:color w:val="auto"/>
        </w:rPr>
        <w:t>Note 16, Fair-Value Measurements</w:t>
      </w:r>
      <w:r>
        <w:rPr>
          <w:rFonts w:ascii="Arial" w:cs="Arial" w:eastAsia="Arial" w:hAnsi="Arial"/>
          <w:sz w:val="18"/>
          <w:szCs w:val="18"/>
          <w:color w:val="auto"/>
        </w:rPr>
        <w:t>. No cash collateral was received or pledged in relation to the swap agreements.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 Fair-Value Measurements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The Company uses a three-level fair value hierarchy that prioritizes the inputs used to measure fair value. This hierarchy requires the Company to maximize the use of observable inputs and minimize the use of unobservable inputs. The three levels of inputs used to measure fair value are as follows:</w:t>
      </w:r>
    </w:p>
    <w:p>
      <w:pPr>
        <w:spacing w:after="0" w:line="7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Observable inputs other than quoted prices included in Level 1, such as quoted prices in markets that are not active or other inputs that are observable or can be corroborated by observable market data.</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and are significant to the fair value of the assets or liabilities. This includes certain pricing models, discounted cash flow methodologies and similar techniques that use significant unobservable inputs.</w:t>
      </w:r>
    </w:p>
    <w:p>
      <w:pPr>
        <w:spacing w:after="0" w:line="6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had no Level 3 financial assets or liabilities at September 30, 2026 or at December 31, 2025, other than certain pension assets as indicated in our December 31, 2025 Annual Report on Form 10-K.</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Debt is carried at cost, which approximates fair value.</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presents the fair-value hierarchy for our Level 1 and Level 2 financial and non-financial assets and liabilities, which are measured at fair value on a recurring basis: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0" w:type="dxa"/>
            <w:vAlign w:val="bottom"/>
            <w:tcBorders>
              <w:top w:val="single" w:sz="8" w:color="auto"/>
            </w:tcBorders>
          </w:tcPr>
          <w:p>
            <w:pPr>
              <w:spacing w:after="0"/>
              <w:rPr>
                <w:sz w:val="18"/>
                <w:szCs w:val="18"/>
                <w:color w:val="auto"/>
              </w:rPr>
            </w:pPr>
          </w:p>
        </w:tc>
        <w:tc>
          <w:tcPr>
            <w:tcW w:w="50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820" w:type="dxa"/>
            <w:vAlign w:val="bottom"/>
            <w:tcBorders>
              <w:top w:val="single" w:sz="8" w:color="auto"/>
              <w:bottom w:val="single" w:sz="8" w:color="auto"/>
            </w:tcBorders>
            <w:gridSpan w:val="3"/>
          </w:tcPr>
          <w:p>
            <w:pPr>
              <w:jc w:val="right"/>
              <w:ind w:right="944"/>
              <w:spacing w:after="0"/>
              <w:rPr>
                <w:sz w:val="20"/>
                <w:szCs w:val="20"/>
                <w:color w:val="auto"/>
              </w:rPr>
            </w:pPr>
            <w:r>
              <w:rPr>
                <w:rFonts w:ascii="Arial" w:cs="Arial" w:eastAsia="Arial" w:hAnsi="Arial"/>
                <w:sz w:val="14"/>
                <w:szCs w:val="14"/>
                <w:b w:val="1"/>
                <w:bCs w:val="1"/>
                <w:color w:val="auto"/>
              </w:rPr>
              <w:t>September 30, 2026</w:t>
            </w:r>
          </w:p>
        </w:tc>
        <w:tc>
          <w:tcPr>
            <w:tcW w:w="2500" w:type="dxa"/>
            <w:vAlign w:val="bottom"/>
            <w:tcBorders>
              <w:top w:val="single" w:sz="8" w:color="auto"/>
              <w:bottom w:val="single" w:sz="8" w:color="auto"/>
            </w:tcBorders>
            <w:gridSpan w:val="3"/>
          </w:tcPr>
          <w:p>
            <w:pPr>
              <w:jc w:val="right"/>
              <w:ind w:right="644"/>
              <w:spacing w:after="0"/>
              <w:rPr>
                <w:sz w:val="20"/>
                <w:szCs w:val="20"/>
                <w:color w:val="auto"/>
              </w:rPr>
            </w:pPr>
            <w:r>
              <w:rPr>
                <w:rFonts w:ascii="Arial" w:cs="Arial" w:eastAsia="Arial" w:hAnsi="Arial"/>
                <w:sz w:val="14"/>
                <w:szCs w:val="14"/>
                <w:b w:val="1"/>
                <w:bCs w:val="1"/>
                <w:color w:val="auto"/>
              </w:rPr>
              <w:t>December 31, 2025</w:t>
            </w:r>
          </w:p>
        </w:tc>
        <w:tc>
          <w:tcPr>
            <w:tcW w:w="0" w:type="dxa"/>
            <w:vAlign w:val="bottom"/>
          </w:tcPr>
          <w:p>
            <w:pPr>
              <w:spacing w:after="0"/>
              <w:rPr>
                <w:sz w:val="1"/>
                <w:szCs w:val="1"/>
                <w:color w:val="auto"/>
              </w:rPr>
            </w:pPr>
          </w:p>
        </w:tc>
      </w:tr>
      <w:tr>
        <w:trPr>
          <w:trHeight w:val="188"/>
        </w:trPr>
        <w:tc>
          <w:tcPr>
            <w:tcW w:w="60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vMerge w:val="restart"/>
          </w:tcPr>
          <w:p>
            <w:pPr>
              <w:jc w:val="center"/>
              <w:ind w:right="164"/>
              <w:spacing w:after="0"/>
              <w:rPr>
                <w:sz w:val="20"/>
                <w:szCs w:val="20"/>
                <w:color w:val="auto"/>
              </w:rPr>
            </w:pPr>
            <w:r>
              <w:rPr>
                <w:rFonts w:ascii="Arial" w:cs="Arial" w:eastAsia="Arial" w:hAnsi="Arial"/>
                <w:sz w:val="14"/>
                <w:szCs w:val="14"/>
                <w:b w:val="1"/>
                <w:bCs w:val="1"/>
                <w:color w:val="auto"/>
              </w:rPr>
              <w:t>Quoted</w:t>
            </w:r>
          </w:p>
        </w:tc>
        <w:tc>
          <w:tcPr>
            <w:tcW w:w="280" w:type="dxa"/>
            <w:vAlign w:val="bottom"/>
          </w:tcPr>
          <w:p>
            <w:pPr>
              <w:spacing w:after="0"/>
              <w:rPr>
                <w:sz w:val="16"/>
                <w:szCs w:val="16"/>
                <w:color w:val="auto"/>
              </w:rPr>
            </w:pPr>
          </w:p>
        </w:tc>
        <w:tc>
          <w:tcPr>
            <w:tcW w:w="1440" w:type="dxa"/>
            <w:vAlign w:val="bottom"/>
            <w:vMerge w:val="restart"/>
          </w:tcPr>
          <w:p>
            <w:pPr>
              <w:jc w:val="center"/>
              <w:ind w:right="464"/>
              <w:spacing w:after="0"/>
              <w:rPr>
                <w:sz w:val="20"/>
                <w:szCs w:val="20"/>
                <w:color w:val="auto"/>
              </w:rPr>
            </w:pPr>
            <w:r>
              <w:rPr>
                <w:rFonts w:ascii="Arial" w:cs="Arial" w:eastAsia="Arial" w:hAnsi="Arial"/>
                <w:sz w:val="14"/>
                <w:szCs w:val="14"/>
                <w:b w:val="1"/>
                <w:bCs w:val="1"/>
                <w:color w:val="auto"/>
              </w:rPr>
              <w:t>Significant</w:t>
            </w:r>
          </w:p>
        </w:tc>
        <w:tc>
          <w:tcPr>
            <w:tcW w:w="1100" w:type="dxa"/>
            <w:vAlign w:val="bottom"/>
          </w:tcPr>
          <w:p>
            <w:pPr>
              <w:jc w:val="center"/>
              <w:ind w:right="164"/>
              <w:spacing w:after="0"/>
              <w:rPr>
                <w:sz w:val="20"/>
                <w:szCs w:val="20"/>
                <w:color w:val="auto"/>
              </w:rPr>
            </w:pPr>
            <w:r>
              <w:rPr>
                <w:rFonts w:ascii="Arial" w:cs="Arial" w:eastAsia="Arial" w:hAnsi="Arial"/>
                <w:sz w:val="14"/>
                <w:szCs w:val="14"/>
                <w:b w:val="1"/>
                <w:bCs w:val="1"/>
                <w:color w:val="auto"/>
              </w:rPr>
              <w:t>Quoted</w:t>
            </w:r>
          </w:p>
        </w:tc>
        <w:tc>
          <w:tcPr>
            <w:tcW w:w="280" w:type="dxa"/>
            <w:vAlign w:val="bottom"/>
          </w:tcPr>
          <w:p>
            <w:pPr>
              <w:spacing w:after="0"/>
              <w:rPr>
                <w:sz w:val="16"/>
                <w:szCs w:val="16"/>
                <w:color w:val="auto"/>
              </w:rPr>
            </w:pPr>
          </w:p>
        </w:tc>
        <w:tc>
          <w:tcPr>
            <w:tcW w:w="1120" w:type="dxa"/>
            <w:vAlign w:val="bottom"/>
          </w:tcPr>
          <w:p>
            <w:pPr>
              <w:jc w:val="center"/>
              <w:ind w:right="124"/>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68"/>
        </w:trPr>
        <w:tc>
          <w:tcPr>
            <w:tcW w:w="600" w:type="dxa"/>
            <w:vAlign w:val="bottom"/>
          </w:tcPr>
          <w:p>
            <w:pPr>
              <w:spacing w:after="0"/>
              <w:rPr>
                <w:sz w:val="5"/>
                <w:szCs w:val="5"/>
                <w:color w:val="auto"/>
              </w:rPr>
            </w:pPr>
          </w:p>
        </w:tc>
        <w:tc>
          <w:tcPr>
            <w:tcW w:w="50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1100" w:type="dxa"/>
            <w:vAlign w:val="bottom"/>
            <w:vMerge w:val="restart"/>
          </w:tcPr>
          <w:p>
            <w:pPr>
              <w:jc w:val="center"/>
              <w:ind w:right="164"/>
              <w:spacing w:after="0"/>
              <w:rPr>
                <w:sz w:val="20"/>
                <w:szCs w:val="20"/>
                <w:color w:val="auto"/>
              </w:rPr>
            </w:pPr>
            <w:r>
              <w:rPr>
                <w:rFonts w:ascii="Arial" w:cs="Arial" w:eastAsia="Arial" w:hAnsi="Arial"/>
                <w:sz w:val="14"/>
                <w:szCs w:val="14"/>
                <w:b w:val="1"/>
                <w:bCs w:val="1"/>
                <w:color w:val="auto"/>
              </w:rPr>
              <w:t>prices in</w:t>
            </w:r>
          </w:p>
        </w:tc>
        <w:tc>
          <w:tcPr>
            <w:tcW w:w="280" w:type="dxa"/>
            <w:vAlign w:val="bottom"/>
          </w:tcPr>
          <w:p>
            <w:pPr>
              <w:spacing w:after="0"/>
              <w:rPr>
                <w:sz w:val="5"/>
                <w:szCs w:val="5"/>
                <w:color w:val="auto"/>
              </w:rPr>
            </w:pPr>
          </w:p>
        </w:tc>
        <w:tc>
          <w:tcPr>
            <w:tcW w:w="1120" w:type="dxa"/>
            <w:vAlign w:val="bottom"/>
            <w:vMerge w:val="restart"/>
          </w:tcPr>
          <w:p>
            <w:pPr>
              <w:jc w:val="center"/>
              <w:ind w:right="12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08"/>
        </w:trPr>
        <w:tc>
          <w:tcPr>
            <w:tcW w:w="600" w:type="dxa"/>
            <w:vAlign w:val="bottom"/>
          </w:tcPr>
          <w:p>
            <w:pPr>
              <w:spacing w:after="0"/>
              <w:rPr>
                <w:sz w:val="9"/>
                <w:szCs w:val="9"/>
                <w:color w:val="auto"/>
              </w:rPr>
            </w:pPr>
          </w:p>
        </w:tc>
        <w:tc>
          <w:tcPr>
            <w:tcW w:w="5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vMerge w:val="restart"/>
          </w:tcPr>
          <w:p>
            <w:pPr>
              <w:jc w:val="center"/>
              <w:ind w:right="164"/>
              <w:spacing w:after="0" w:line="145" w:lineRule="exact"/>
              <w:rPr>
                <w:sz w:val="20"/>
                <w:szCs w:val="20"/>
                <w:color w:val="auto"/>
              </w:rPr>
            </w:pPr>
            <w:r>
              <w:rPr>
                <w:rFonts w:ascii="Arial" w:cs="Arial" w:eastAsia="Arial" w:hAnsi="Arial"/>
                <w:sz w:val="14"/>
                <w:szCs w:val="14"/>
                <w:b w:val="1"/>
                <w:bCs w:val="1"/>
                <w:color w:val="auto"/>
              </w:rPr>
              <w:t>prices in</w:t>
            </w:r>
          </w:p>
        </w:tc>
        <w:tc>
          <w:tcPr>
            <w:tcW w:w="280" w:type="dxa"/>
            <w:vAlign w:val="bottom"/>
          </w:tcPr>
          <w:p>
            <w:pPr>
              <w:spacing w:after="0"/>
              <w:rPr>
                <w:sz w:val="9"/>
                <w:szCs w:val="9"/>
                <w:color w:val="auto"/>
              </w:rPr>
            </w:pPr>
          </w:p>
        </w:tc>
        <w:tc>
          <w:tcPr>
            <w:tcW w:w="1440" w:type="dxa"/>
            <w:vAlign w:val="bottom"/>
            <w:vMerge w:val="restart"/>
          </w:tcPr>
          <w:p>
            <w:pPr>
              <w:jc w:val="center"/>
              <w:ind w:right="444"/>
              <w:spacing w:after="0" w:line="145" w:lineRule="exact"/>
              <w:rPr>
                <w:sz w:val="20"/>
                <w:szCs w:val="20"/>
                <w:color w:val="auto"/>
              </w:rPr>
            </w:pPr>
            <w:r>
              <w:rPr>
                <w:rFonts w:ascii="Arial" w:cs="Arial" w:eastAsia="Arial" w:hAnsi="Arial"/>
                <w:sz w:val="14"/>
                <w:szCs w:val="14"/>
                <w:b w:val="1"/>
                <w:bCs w:val="1"/>
                <w:color w:val="auto"/>
              </w:rPr>
              <w:t>other</w:t>
            </w:r>
          </w:p>
        </w:tc>
        <w:tc>
          <w:tcPr>
            <w:tcW w:w="11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6"/>
        </w:trPr>
        <w:tc>
          <w:tcPr>
            <w:tcW w:w="600" w:type="dxa"/>
            <w:vAlign w:val="bottom"/>
          </w:tcPr>
          <w:p>
            <w:pPr>
              <w:spacing w:after="0"/>
              <w:rPr>
                <w:sz w:val="3"/>
                <w:szCs w:val="3"/>
                <w:color w:val="auto"/>
              </w:rPr>
            </w:pPr>
          </w:p>
        </w:tc>
        <w:tc>
          <w:tcPr>
            <w:tcW w:w="50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1440" w:type="dxa"/>
            <w:vAlign w:val="bottom"/>
            <w:vMerge w:val="continue"/>
          </w:tcPr>
          <w:p>
            <w:pPr>
              <w:spacing w:after="0"/>
              <w:rPr>
                <w:sz w:val="3"/>
                <w:szCs w:val="3"/>
                <w:color w:val="auto"/>
              </w:rPr>
            </w:pPr>
          </w:p>
        </w:tc>
        <w:tc>
          <w:tcPr>
            <w:tcW w:w="1100" w:type="dxa"/>
            <w:vAlign w:val="bottom"/>
            <w:vMerge w:val="restart"/>
          </w:tcPr>
          <w:p>
            <w:pPr>
              <w:jc w:val="center"/>
              <w:ind w:right="164"/>
              <w:spacing w:after="0"/>
              <w:rPr>
                <w:sz w:val="20"/>
                <w:szCs w:val="20"/>
                <w:color w:val="auto"/>
              </w:rPr>
            </w:pPr>
            <w:r>
              <w:rPr>
                <w:rFonts w:ascii="Arial" w:cs="Arial" w:eastAsia="Arial" w:hAnsi="Arial"/>
                <w:sz w:val="14"/>
                <w:szCs w:val="14"/>
                <w:b w:val="1"/>
                <w:bCs w:val="1"/>
                <w:color w:val="auto"/>
              </w:rPr>
              <w:t>active</w:t>
            </w:r>
          </w:p>
        </w:tc>
        <w:tc>
          <w:tcPr>
            <w:tcW w:w="280" w:type="dxa"/>
            <w:vAlign w:val="bottom"/>
          </w:tcPr>
          <w:p>
            <w:pPr>
              <w:spacing w:after="0"/>
              <w:rPr>
                <w:sz w:val="3"/>
                <w:szCs w:val="3"/>
                <w:color w:val="auto"/>
              </w:rPr>
            </w:pPr>
          </w:p>
        </w:tc>
        <w:tc>
          <w:tcPr>
            <w:tcW w:w="1120" w:type="dxa"/>
            <w:vAlign w:val="bottom"/>
            <w:vMerge w:val="restart"/>
          </w:tcPr>
          <w:p>
            <w:pPr>
              <w:jc w:val="center"/>
              <w:ind w:right="124"/>
              <w:spacing w:after="0"/>
              <w:rPr>
                <w:sz w:val="20"/>
                <w:szCs w:val="20"/>
                <w:color w:val="auto"/>
              </w:rPr>
            </w:pPr>
            <w:r>
              <w:rPr>
                <w:rFonts w:ascii="Arial" w:cs="Arial" w:eastAsia="Arial" w:hAnsi="Arial"/>
                <w:sz w:val="14"/>
                <w:szCs w:val="14"/>
                <w:b w:val="1"/>
                <w:bCs w:val="1"/>
                <w:color w:val="auto"/>
              </w:rPr>
              <w:t>observable</w:t>
            </w:r>
          </w:p>
        </w:tc>
        <w:tc>
          <w:tcPr>
            <w:tcW w:w="0" w:type="dxa"/>
            <w:vAlign w:val="bottom"/>
          </w:tcPr>
          <w:p>
            <w:pPr>
              <w:spacing w:after="0" w:line="20" w:lineRule="exact"/>
              <w:rPr>
                <w:sz w:val="1"/>
                <w:szCs w:val="1"/>
                <w:color w:val="auto"/>
              </w:rPr>
            </w:pPr>
          </w:p>
        </w:tc>
      </w:tr>
      <w:tr>
        <w:trPr>
          <w:trHeight w:val="135"/>
        </w:trPr>
        <w:tc>
          <w:tcPr>
            <w:tcW w:w="60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center"/>
              <w:ind w:right="164"/>
              <w:spacing w:after="0" w:line="135" w:lineRule="exact"/>
              <w:rPr>
                <w:sz w:val="20"/>
                <w:szCs w:val="20"/>
                <w:color w:val="auto"/>
              </w:rPr>
            </w:pPr>
            <w:r>
              <w:rPr>
                <w:rFonts w:ascii="Arial" w:cs="Arial" w:eastAsia="Arial" w:hAnsi="Arial"/>
                <w:sz w:val="14"/>
                <w:szCs w:val="14"/>
                <w:b w:val="1"/>
                <w:bCs w:val="1"/>
                <w:color w:val="auto"/>
              </w:rPr>
              <w:t>active</w:t>
            </w:r>
          </w:p>
        </w:tc>
        <w:tc>
          <w:tcPr>
            <w:tcW w:w="280" w:type="dxa"/>
            <w:vAlign w:val="bottom"/>
          </w:tcPr>
          <w:p>
            <w:pPr>
              <w:spacing w:after="0"/>
              <w:rPr>
                <w:sz w:val="11"/>
                <w:szCs w:val="11"/>
                <w:color w:val="auto"/>
              </w:rPr>
            </w:pPr>
          </w:p>
        </w:tc>
        <w:tc>
          <w:tcPr>
            <w:tcW w:w="1440" w:type="dxa"/>
            <w:vAlign w:val="bottom"/>
          </w:tcPr>
          <w:p>
            <w:pPr>
              <w:jc w:val="center"/>
              <w:ind w:right="444"/>
              <w:spacing w:after="0" w:line="135" w:lineRule="exact"/>
              <w:rPr>
                <w:sz w:val="20"/>
                <w:szCs w:val="20"/>
                <w:color w:val="auto"/>
              </w:rPr>
            </w:pPr>
            <w:r>
              <w:rPr>
                <w:rFonts w:ascii="Arial" w:cs="Arial" w:eastAsia="Arial" w:hAnsi="Arial"/>
                <w:sz w:val="14"/>
                <w:szCs w:val="14"/>
                <w:b w:val="1"/>
                <w:bCs w:val="1"/>
                <w:color w:val="auto"/>
              </w:rPr>
              <w:t>observable</w:t>
            </w:r>
          </w:p>
        </w:tc>
        <w:tc>
          <w:tcPr>
            <w:tcW w:w="11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60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center"/>
              <w:ind w:right="164"/>
              <w:spacing w:after="0"/>
              <w:rPr>
                <w:sz w:val="20"/>
                <w:szCs w:val="20"/>
                <w:color w:val="auto"/>
              </w:rPr>
            </w:pPr>
            <w:r>
              <w:rPr>
                <w:rFonts w:ascii="Arial" w:cs="Arial" w:eastAsia="Arial" w:hAnsi="Arial"/>
                <w:sz w:val="14"/>
                <w:szCs w:val="14"/>
                <w:b w:val="1"/>
                <w:bCs w:val="1"/>
                <w:color w:val="auto"/>
              </w:rPr>
              <w:t>markets</w:t>
            </w:r>
          </w:p>
        </w:tc>
        <w:tc>
          <w:tcPr>
            <w:tcW w:w="280" w:type="dxa"/>
            <w:vAlign w:val="bottom"/>
          </w:tcPr>
          <w:p>
            <w:pPr>
              <w:spacing w:after="0"/>
              <w:rPr>
                <w:sz w:val="17"/>
                <w:szCs w:val="17"/>
                <w:color w:val="auto"/>
              </w:rPr>
            </w:pPr>
          </w:p>
        </w:tc>
        <w:tc>
          <w:tcPr>
            <w:tcW w:w="1440" w:type="dxa"/>
            <w:vAlign w:val="bottom"/>
          </w:tcPr>
          <w:p>
            <w:pPr>
              <w:jc w:val="center"/>
              <w:ind w:right="444"/>
              <w:spacing w:after="0"/>
              <w:rPr>
                <w:sz w:val="20"/>
                <w:szCs w:val="20"/>
                <w:color w:val="auto"/>
              </w:rPr>
            </w:pPr>
            <w:r>
              <w:rPr>
                <w:rFonts w:ascii="Arial" w:cs="Arial" w:eastAsia="Arial" w:hAnsi="Arial"/>
                <w:sz w:val="14"/>
                <w:szCs w:val="14"/>
                <w:b w:val="1"/>
                <w:bCs w:val="1"/>
                <w:color w:val="auto"/>
              </w:rPr>
              <w:t>inputs</w:t>
            </w:r>
          </w:p>
        </w:tc>
        <w:tc>
          <w:tcPr>
            <w:tcW w:w="1100" w:type="dxa"/>
            <w:vAlign w:val="bottom"/>
          </w:tcPr>
          <w:p>
            <w:pPr>
              <w:jc w:val="center"/>
              <w:ind w:right="164"/>
              <w:spacing w:after="0"/>
              <w:rPr>
                <w:sz w:val="20"/>
                <w:szCs w:val="20"/>
                <w:color w:val="auto"/>
              </w:rPr>
            </w:pPr>
            <w:r>
              <w:rPr>
                <w:rFonts w:ascii="Arial" w:cs="Arial" w:eastAsia="Arial" w:hAnsi="Arial"/>
                <w:sz w:val="14"/>
                <w:szCs w:val="14"/>
                <w:b w:val="1"/>
                <w:bCs w:val="1"/>
                <w:color w:val="auto"/>
              </w:rPr>
              <w:t>markets</w:t>
            </w:r>
          </w:p>
        </w:tc>
        <w:tc>
          <w:tcPr>
            <w:tcW w:w="280" w:type="dxa"/>
            <w:vAlign w:val="bottom"/>
          </w:tcPr>
          <w:p>
            <w:pPr>
              <w:spacing w:after="0"/>
              <w:rPr>
                <w:sz w:val="17"/>
                <w:szCs w:val="17"/>
                <w:color w:val="auto"/>
              </w:rPr>
            </w:pPr>
          </w:p>
        </w:tc>
        <w:tc>
          <w:tcPr>
            <w:tcW w:w="1120" w:type="dxa"/>
            <w:vAlign w:val="bottom"/>
          </w:tcPr>
          <w:p>
            <w:pPr>
              <w:jc w:val="center"/>
              <w:ind w:right="124"/>
              <w:spacing w:after="0"/>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231"/>
        </w:trPr>
        <w:tc>
          <w:tcPr>
            <w:tcW w:w="5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464"/>
              <w:spacing w:after="0"/>
              <w:rPr>
                <w:sz w:val="20"/>
                <w:szCs w:val="20"/>
                <w:color w:val="auto"/>
              </w:rPr>
            </w:pPr>
            <w:r>
              <w:rPr>
                <w:rFonts w:ascii="Arial" w:cs="Arial" w:eastAsia="Arial" w:hAnsi="Arial"/>
                <w:sz w:val="14"/>
                <w:szCs w:val="14"/>
                <w:b w:val="1"/>
                <w:bCs w:val="1"/>
                <w:color w:val="auto"/>
              </w:rPr>
              <w:t>(Level 2)</w:t>
            </w:r>
          </w:p>
        </w:tc>
        <w:tc>
          <w:tcPr>
            <w:tcW w:w="110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210"/>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Fair Value</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0" w:type="dxa"/>
            <w:vAlign w:val="bottom"/>
          </w:tcPr>
          <w:p>
            <w:pPr>
              <w:ind w:left="20"/>
              <w:spacing w:after="0"/>
              <w:rPr>
                <w:sz w:val="20"/>
                <w:szCs w:val="20"/>
                <w:color w:val="auto"/>
              </w:rPr>
            </w:pPr>
            <w:r>
              <w:rPr>
                <w:rFonts w:ascii="Arial" w:cs="Arial" w:eastAsia="Arial" w:hAnsi="Arial"/>
                <w:sz w:val="16"/>
                <w:szCs w:val="16"/>
                <w:i w:val="1"/>
                <w:iCs w:val="1"/>
                <w:color w:val="auto"/>
              </w:rPr>
              <w:t>Assets:</w:t>
            </w:r>
          </w:p>
        </w:tc>
        <w:tc>
          <w:tcPr>
            <w:tcW w:w="5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6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Cash equivalents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ind w:right="24"/>
              <w:spacing w:after="0"/>
              <w:rPr>
                <w:sz w:val="20"/>
                <w:szCs w:val="20"/>
                <w:color w:val="auto"/>
              </w:rPr>
            </w:pPr>
            <w:r>
              <w:rPr>
                <w:rFonts w:ascii="Arial" w:cs="Arial" w:eastAsia="Arial" w:hAnsi="Arial"/>
                <w:sz w:val="16"/>
                <w:szCs w:val="16"/>
                <w:b w:val="1"/>
                <w:bCs w:val="1"/>
                <w:color w:val="auto"/>
              </w:rPr>
              <w:t>4,138</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40" w:type="dxa"/>
            <w:vAlign w:val="bottom"/>
            <w:shd w:val="clear" w:color="auto" w:fill="CCEEFF"/>
          </w:tcPr>
          <w:p>
            <w:pPr>
              <w:jc w:val="right"/>
              <w:ind w:right="44"/>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1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10,584</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680" w:type="dxa"/>
            <w:vAlign w:val="bottom"/>
            <w:gridSpan w:val="2"/>
          </w:tcPr>
          <w:p>
            <w:pPr>
              <w:ind w:left="140"/>
              <w:spacing w:after="0"/>
              <w:rPr>
                <w:sz w:val="20"/>
                <w:szCs w:val="20"/>
                <w:color w:val="auto"/>
              </w:rPr>
            </w:pPr>
            <w:r>
              <w:rPr>
                <w:rFonts w:ascii="Arial" w:cs="Arial" w:eastAsia="Arial" w:hAnsi="Arial"/>
                <w:sz w:val="16"/>
                <w:szCs w:val="16"/>
                <w:i w:val="1"/>
                <w:iCs w:val="1"/>
                <w:color w:val="auto"/>
              </w:rPr>
              <w:t>Other Assets: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6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Common stock of unaffiliated foreign public company (a)</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4"/>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24"/>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1,098</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680" w:type="dxa"/>
            <w:vAlign w:val="bottom"/>
            <w:gridSpan w:val="2"/>
          </w:tcPr>
          <w:p>
            <w:pPr>
              <w:ind w:left="140"/>
              <w:spacing w:after="0"/>
              <w:rPr>
                <w:sz w:val="20"/>
                <w:szCs w:val="20"/>
                <w:color w:val="auto"/>
              </w:rPr>
            </w:pPr>
            <w:r>
              <w:rPr>
                <w:rFonts w:ascii="Arial" w:cs="Arial" w:eastAsia="Arial" w:hAnsi="Arial"/>
                <w:sz w:val="16"/>
                <w:szCs w:val="16"/>
                <w:color w:val="auto"/>
              </w:rPr>
              <w:t>Interest rate swaps</w:t>
            </w:r>
          </w:p>
        </w:tc>
        <w:tc>
          <w:tcPr>
            <w:tcW w:w="220" w:type="dxa"/>
            <w:vAlign w:val="bottom"/>
          </w:tcPr>
          <w:p>
            <w:pPr>
              <w:spacing w:after="0"/>
              <w:rPr>
                <w:sz w:val="18"/>
                <w:szCs w:val="18"/>
                <w:color w:val="auto"/>
              </w:rPr>
            </w:pPr>
          </w:p>
        </w:tc>
        <w:tc>
          <w:tcPr>
            <w:tcW w:w="1100" w:type="dxa"/>
            <w:vAlign w:val="bottom"/>
          </w:tcPr>
          <w:p>
            <w:pPr>
              <w:jc w:val="right"/>
              <w:ind w:right="24"/>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8"/>
                <w:szCs w:val="18"/>
                <w:color w:val="auto"/>
              </w:rPr>
            </w:pPr>
          </w:p>
        </w:tc>
        <w:tc>
          <w:tcPr>
            <w:tcW w:w="1440" w:type="dxa"/>
            <w:vAlign w:val="bottom"/>
          </w:tcPr>
          <w:p>
            <w:pPr>
              <w:jc w:val="right"/>
              <w:ind w:right="324"/>
              <w:spacing w:after="0"/>
              <w:rPr>
                <w:sz w:val="20"/>
                <w:szCs w:val="20"/>
                <w:color w:val="auto"/>
              </w:rPr>
            </w:pPr>
            <w:r>
              <w:rPr>
                <w:rFonts w:ascii="Arial" w:cs="Arial" w:eastAsia="Arial" w:hAnsi="Arial"/>
                <w:sz w:val="16"/>
                <w:szCs w:val="16"/>
                <w:b w:val="1"/>
                <w:bCs w:val="1"/>
                <w:color w:val="auto"/>
              </w:rPr>
              <w:t>5,677</w:t>
            </w:r>
          </w:p>
        </w:tc>
        <w:tc>
          <w:tcPr>
            <w:tcW w:w="110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20" w:type="dxa"/>
            <w:vAlign w:val="bottom"/>
          </w:tcPr>
          <w:p>
            <w:pPr>
              <w:jc w:val="right"/>
              <w:ind w:right="4"/>
              <w:spacing w:after="0"/>
              <w:rPr>
                <w:sz w:val="20"/>
                <w:szCs w:val="20"/>
                <w:color w:val="auto"/>
              </w:rPr>
            </w:pPr>
            <w:r>
              <w:rPr>
                <w:rFonts w:ascii="Arial" w:cs="Arial" w:eastAsia="Arial" w:hAnsi="Arial"/>
                <w:sz w:val="16"/>
                <w:szCs w:val="16"/>
                <w:color w:val="auto"/>
              </w:rPr>
              <w:t>768</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Liabilities: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80" w:type="dxa"/>
            <w:vAlign w:val="bottom"/>
            <w:gridSpan w:val="2"/>
          </w:tcPr>
          <w:p>
            <w:pPr>
              <w:ind w:left="140"/>
              <w:spacing w:after="0"/>
              <w:rPr>
                <w:sz w:val="20"/>
                <w:szCs w:val="20"/>
                <w:color w:val="auto"/>
              </w:rPr>
            </w:pPr>
            <w:r>
              <w:rPr>
                <w:rFonts w:ascii="Arial" w:cs="Arial" w:eastAsia="Arial" w:hAnsi="Arial"/>
                <w:sz w:val="16"/>
                <w:szCs w:val="16"/>
                <w:color w:val="auto"/>
              </w:rPr>
              <w:t>Foreign currency option contracts</w:t>
            </w:r>
          </w:p>
        </w:tc>
        <w:tc>
          <w:tcPr>
            <w:tcW w:w="220" w:type="dxa"/>
            <w:vAlign w:val="bottom"/>
          </w:tcPr>
          <w:p>
            <w:pPr>
              <w:spacing w:after="0"/>
              <w:rPr>
                <w:sz w:val="19"/>
                <w:szCs w:val="19"/>
                <w:color w:val="auto"/>
              </w:rPr>
            </w:pPr>
          </w:p>
        </w:tc>
        <w:tc>
          <w:tcPr>
            <w:tcW w:w="1100" w:type="dxa"/>
            <w:vAlign w:val="bottom"/>
          </w:tcPr>
          <w:p>
            <w:pPr>
              <w:jc w:val="right"/>
              <w:ind w:right="24"/>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1440" w:type="dxa"/>
            <w:vAlign w:val="bottom"/>
          </w:tcPr>
          <w:p>
            <w:pPr>
              <w:jc w:val="right"/>
              <w:ind w:right="324"/>
              <w:spacing w:after="0"/>
              <w:rPr>
                <w:sz w:val="20"/>
                <w:szCs w:val="20"/>
                <w:color w:val="auto"/>
              </w:rPr>
            </w:pPr>
            <w:r>
              <w:rPr>
                <w:rFonts w:ascii="Arial" w:cs="Arial" w:eastAsia="Arial" w:hAnsi="Arial"/>
                <w:sz w:val="16"/>
                <w:szCs w:val="16"/>
                <w:b w:val="1"/>
                <w:bCs w:val="1"/>
                <w:color w:val="auto"/>
              </w:rPr>
              <w:t>353</w:t>
            </w:r>
          </w:p>
        </w:tc>
        <w:tc>
          <w:tcPr>
            <w:tcW w:w="110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12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8"/>
        </w:trPr>
        <w:tc>
          <w:tcPr>
            <w:tcW w:w="600" w:type="dxa"/>
            <w:vAlign w:val="bottom"/>
          </w:tcPr>
          <w:p>
            <w:pPr>
              <w:spacing w:after="0"/>
              <w:rPr>
                <w:sz w:val="20"/>
                <w:szCs w:val="20"/>
                <w:color w:val="auto"/>
              </w:rPr>
            </w:pPr>
            <w:r>
              <w:rPr>
                <w:rFonts w:ascii="Arial" w:cs="Arial" w:eastAsia="Arial" w:hAnsi="Arial"/>
                <w:sz w:val="16"/>
                <w:szCs w:val="16"/>
                <w:color w:val="auto"/>
              </w:rPr>
              <w:t>(a)</w:t>
            </w:r>
          </w:p>
        </w:tc>
        <w:tc>
          <w:tcPr>
            <w:tcW w:w="5080" w:type="dxa"/>
            <w:vAlign w:val="bottom"/>
          </w:tcPr>
          <w:p>
            <w:pPr>
              <w:ind w:left="60"/>
              <w:spacing w:after="0"/>
              <w:rPr>
                <w:sz w:val="20"/>
                <w:szCs w:val="20"/>
                <w:color w:val="auto"/>
              </w:rPr>
            </w:pPr>
            <w:r>
              <w:rPr>
                <w:rFonts w:ascii="Arial" w:cs="Arial" w:eastAsia="Arial" w:hAnsi="Arial"/>
                <w:sz w:val="16"/>
                <w:szCs w:val="16"/>
                <w:color w:val="auto"/>
              </w:rPr>
              <w:t>Original cost basis $0.5 million.</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Cash equivalents include short-term securities that are considered to be highly liquid and easily tradable. These securities are valued using inputs observable in active markets for identical securities.</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interest rate swaps are accounted for as hedges of future cash flows. The fair value of our interest rate swaps is derived from a discounted cash flow analysis based on the terms of the contract and the interest rate curve, and is included in Other assets and/or Other noncurrent liabilities in the Consolidated Balance Sheets. Unrealized gains and losses on the interest rate swaps are recorded as a component of Derivative valuation adjustment in the Shareholders’ equity section of the Consolidated Balance Sheets. As of September 30, 2026, these interest rate swaps were determined to be highly effective hedges of interest rate cashflow risk. Amounts accumulated in Other comprehensive income are reclassified as interest expense/(income), net when the related interest payments (that is, the hedged forecasted transactions), affect earnings. Interest expense/(income) related to payments under the active swap agreements totaled $(0.4) million for the nine months ended September 30, 2026 and $(0.3) million for the nine months ended September 30, 2025.</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operate our business in many regions of the world, and currency rate movements can have a significant effect on operating results. From time to time, we enter into foreign currency option contracts and forward contracts that are valued using quoted prices in active markets obtained from independent pricing sources. These instruments are measured using market foreign exchange prices and are recorded in the Consolidated Balance Sheets as Other current assets and Accrued liabilities, as applicable. Changes in fair value of these instruments are recorded as gains or losses within Other (income)/expense, net.</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exercised, the foreign currency instruments are net-settled with the same financial institution that bought or sold them. For all positions, whether options or forward contracts, there is a risk from the possible inability of the financial institution to meet the terms of the contracts and the risk of unfavorable changes in interest and currency rates, which may reduce the value of the instruments. We seek to mitigate risk by evaluating the creditworthiness of counterparties and by monitoring the currency exchange and interest rate markets while reviewing the hedging risks and contracts to ensure compliance with our internal guidelines and policies.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(Gains)/losses related to changes in fair value of derivative instruments that were recognized in Other (income)/expense, net in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00" w:type="dxa"/>
            <w:vAlign w:val="bottom"/>
          </w:tcPr>
          <w:p>
            <w:pPr>
              <w:spacing w:after="0"/>
              <w:rPr>
                <w:sz w:val="17"/>
                <w:szCs w:val="17"/>
                <w:color w:val="auto"/>
              </w:rPr>
            </w:pPr>
          </w:p>
        </w:tc>
        <w:tc>
          <w:tcPr>
            <w:tcW w:w="33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80" w:type="dxa"/>
            <w:vAlign w:val="bottom"/>
            <w:gridSpan w:val="3"/>
          </w:tcPr>
          <w:p>
            <w:pPr>
              <w:jc w:val="right"/>
              <w:ind w:right="384"/>
              <w:spacing w:after="0"/>
              <w:rPr>
                <w:sz w:val="20"/>
                <w:szCs w:val="20"/>
                <w:color w:val="auto"/>
              </w:rPr>
            </w:pPr>
            <w:r>
              <w:rPr>
                <w:rFonts w:ascii="Arial" w:cs="Arial" w:eastAsia="Arial" w:hAnsi="Arial"/>
                <w:sz w:val="14"/>
                <w:szCs w:val="14"/>
                <w:b w:val="1"/>
                <w:bCs w:val="1"/>
                <w:color w:val="auto"/>
              </w:rPr>
              <w:t>Nine months ended September 30,</w:t>
            </w:r>
          </w:p>
        </w:tc>
      </w:tr>
      <w:tr>
        <w:trPr>
          <w:trHeight w:val="203"/>
        </w:trPr>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640" w:type="dxa"/>
            <w:vAlign w:val="bottom"/>
            <w:tcBorders>
              <w:bottom w:val="single" w:sz="8" w:color="auto"/>
            </w:tcBorders>
          </w:tcPr>
          <w:p>
            <w:pPr>
              <w:jc w:val="right"/>
              <w:ind w:right="105"/>
              <w:spacing w:after="0"/>
              <w:rPr>
                <w:sz w:val="20"/>
                <w:szCs w:val="20"/>
                <w:color w:val="auto"/>
              </w:rPr>
            </w:pPr>
            <w:r>
              <w:rPr>
                <w:rFonts w:ascii="Arial" w:cs="Arial" w:eastAsia="Arial" w:hAnsi="Arial"/>
                <w:sz w:val="14"/>
                <w:szCs w:val="14"/>
                <w:b w:val="1"/>
                <w:bCs w:val="1"/>
                <w:color w:val="auto"/>
              </w:rPr>
              <w:t>2026</w:t>
            </w:r>
          </w:p>
        </w:tc>
        <w:tc>
          <w:tcPr>
            <w:tcW w:w="4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85"/>
              <w:spacing w:after="0"/>
              <w:rPr>
                <w:sz w:val="20"/>
                <w:szCs w:val="20"/>
                <w:color w:val="auto"/>
              </w:rPr>
            </w:pPr>
            <w:r>
              <w:rPr>
                <w:rFonts w:ascii="Arial" w:cs="Arial" w:eastAsia="Arial" w:hAnsi="Arial"/>
                <w:sz w:val="14"/>
                <w:szCs w:val="14"/>
                <w:b w:val="1"/>
                <w:bCs w:val="1"/>
                <w:color w:val="auto"/>
              </w:rPr>
              <w:t>2026</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b w:val="1"/>
                <w:bCs w:val="1"/>
                <w:color w:val="auto"/>
              </w:rPr>
              <w:t>2025</w:t>
            </w:r>
          </w:p>
        </w:tc>
      </w:tr>
      <w:tr>
        <w:trPr>
          <w:trHeight w:val="211"/>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Derivatives not designated as hedging instruments:</w:t>
            </w:r>
          </w:p>
        </w:tc>
        <w:tc>
          <w:tcPr>
            <w:tcW w:w="1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420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Foreign currency options (gains)/losses</w:t>
            </w:r>
          </w:p>
        </w:tc>
        <w:tc>
          <w:tcPr>
            <w:tcW w:w="1640" w:type="dxa"/>
            <w:vAlign w:val="bottom"/>
            <w:tcBorders>
              <w:bottom w:val="single" w:sz="8" w:color="auto"/>
            </w:tcBorders>
          </w:tcPr>
          <w:p>
            <w:pPr>
              <w:jc w:val="right"/>
              <w:ind w:right="965"/>
              <w:spacing w:after="0"/>
              <w:rPr>
                <w:sz w:val="20"/>
                <w:szCs w:val="20"/>
                <w:color w:val="auto"/>
              </w:rPr>
            </w:pPr>
            <w:r>
              <w:rPr>
                <w:rFonts w:ascii="Arial" w:cs="Arial" w:eastAsia="Arial" w:hAnsi="Arial"/>
                <w:sz w:val="16"/>
                <w:szCs w:val="16"/>
                <w:b w:val="1"/>
                <w:bCs w:val="1"/>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w:t>
            </w:r>
          </w:p>
        </w:tc>
        <w:tc>
          <w:tcPr>
            <w:tcW w:w="1280" w:type="dxa"/>
            <w:vAlign w:val="bottom"/>
            <w:tcBorders>
              <w:bottom w:val="single" w:sz="8" w:color="auto"/>
            </w:tcBorders>
          </w:tcPr>
          <w:p>
            <w:pPr>
              <w:jc w:val="right"/>
              <w:ind w:right="1084"/>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(1,187)</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(3,356)</w:t>
            </w:r>
          </w:p>
        </w:tc>
      </w:tr>
    </w:tbl>
    <w:p>
      <w:pPr>
        <w:spacing w:after="0" w:line="375" w:lineRule="exact"/>
        <w:rPr>
          <w:sz w:val="20"/>
          <w:szCs w:val="20"/>
          <w:color w:val="auto"/>
        </w:rPr>
      </w:pPr>
    </w:p>
    <w:p>
      <w:pPr>
        <w:ind w:right="9560" w:firstLine="8"/>
        <w:spacing w:after="0" w:line="374" w:lineRule="auto"/>
        <w:tabs>
          <w:tab w:leader="none" w:pos="30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Contingencies </w:t>
      </w:r>
      <w:r>
        <w:rPr>
          <w:rFonts w:ascii="Arial" w:cs="Arial" w:eastAsia="Arial" w:hAnsi="Arial"/>
          <w:sz w:val="18"/>
          <w:szCs w:val="18"/>
          <w:b w:val="1"/>
          <w:bCs w:val="1"/>
          <w:color w:val="auto"/>
        </w:rPr>
        <w:t>Asbestos Litigation</w:t>
      </w:r>
    </w:p>
    <w:p>
      <w:pPr>
        <w:spacing w:after="0" w:line="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Albany International Corp. is a defendant in suits brought in various courts in the United States by plaintiffs who allege that they have suffered personal injury as a result of exposure to asbestos-containing paper machine clothing synthetic dryer fabrics marketed during the period from 1967 to 1976 and used in certain paper mills.</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were defending 3,662 claims as of September 30, 2026.</w:t>
      </w:r>
    </w:p>
    <w:p>
      <w:pPr>
        <w:spacing w:after="0" w:line="117"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8"/>
          <w:szCs w:val="18"/>
          <w:color w:val="auto"/>
        </w:rPr>
        <w:t>The following table sets forth the number of claims filed, the number of claims settled, dismissed or otherwise resolved, and the aggregate settlement amount during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0980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40" w:type="dxa"/>
            <w:vAlign w:val="bottom"/>
          </w:tcPr>
          <w:p>
            <w:pPr>
              <w:jc w:val="center"/>
              <w:ind w:right="185"/>
              <w:spacing w:after="0"/>
              <w:rPr>
                <w:sz w:val="20"/>
                <w:szCs w:val="20"/>
                <w:color w:val="auto"/>
              </w:rPr>
            </w:pPr>
            <w:r>
              <w:rPr>
                <w:rFonts w:ascii="Arial" w:cs="Arial" w:eastAsia="Arial" w:hAnsi="Arial"/>
                <w:sz w:val="14"/>
                <w:szCs w:val="14"/>
                <w:b w:val="1"/>
                <w:bCs w:val="1"/>
                <w:color w:val="auto"/>
              </w:rPr>
              <w:t>Claims</w:t>
            </w:r>
          </w:p>
        </w:tc>
        <w:tc>
          <w:tcPr>
            <w:tcW w:w="1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5"/>
        </w:trPr>
        <w:tc>
          <w:tcPr>
            <w:tcW w:w="3660" w:type="dxa"/>
            <w:vAlign w:val="bottom"/>
          </w:tcPr>
          <w:p>
            <w:pPr>
              <w:spacing w:after="0"/>
              <w:rPr>
                <w:sz w:val="15"/>
                <w:szCs w:val="15"/>
                <w:color w:val="auto"/>
              </w:rPr>
            </w:pPr>
          </w:p>
        </w:tc>
        <w:tc>
          <w:tcPr>
            <w:tcW w:w="1820" w:type="dxa"/>
            <w:vAlign w:val="bottom"/>
          </w:tcPr>
          <w:p>
            <w:pPr>
              <w:jc w:val="center"/>
              <w:ind w:left="4"/>
              <w:spacing w:after="0"/>
              <w:rPr>
                <w:sz w:val="20"/>
                <w:szCs w:val="20"/>
                <w:color w:val="auto"/>
              </w:rPr>
            </w:pPr>
            <w:r>
              <w:rPr>
                <w:rFonts w:ascii="Arial" w:cs="Arial" w:eastAsia="Arial" w:hAnsi="Arial"/>
                <w:sz w:val="14"/>
                <w:szCs w:val="14"/>
                <w:b w:val="1"/>
                <w:bCs w:val="1"/>
                <w:color w:val="auto"/>
              </w:rPr>
              <w:t>Opening</w:t>
            </w:r>
          </w:p>
        </w:tc>
        <w:tc>
          <w:tcPr>
            <w:tcW w:w="1440" w:type="dxa"/>
            <w:vAlign w:val="bottom"/>
          </w:tcPr>
          <w:p>
            <w:pPr>
              <w:jc w:val="center"/>
              <w:ind w:right="205"/>
              <w:spacing w:after="0"/>
              <w:rPr>
                <w:sz w:val="20"/>
                <w:szCs w:val="20"/>
                <w:color w:val="auto"/>
              </w:rPr>
            </w:pPr>
            <w:r>
              <w:rPr>
                <w:rFonts w:ascii="Arial" w:cs="Arial" w:eastAsia="Arial" w:hAnsi="Arial"/>
                <w:sz w:val="14"/>
                <w:szCs w:val="14"/>
                <w:b w:val="1"/>
                <w:bCs w:val="1"/>
                <w:color w:val="auto"/>
              </w:rPr>
              <w:t>Dismissed,</w:t>
            </w:r>
          </w:p>
        </w:tc>
        <w:tc>
          <w:tcPr>
            <w:tcW w:w="1480" w:type="dxa"/>
            <w:vAlign w:val="bottom"/>
          </w:tcPr>
          <w:p>
            <w:pPr>
              <w:spacing w:after="0"/>
              <w:rPr>
                <w:sz w:val="15"/>
                <w:szCs w:val="15"/>
                <w:color w:val="auto"/>
              </w:rPr>
            </w:pPr>
          </w:p>
        </w:tc>
        <w:tc>
          <w:tcPr>
            <w:tcW w:w="1280" w:type="dxa"/>
            <w:vAlign w:val="bottom"/>
          </w:tcPr>
          <w:p>
            <w:pPr>
              <w:jc w:val="center"/>
              <w:ind w:right="44"/>
              <w:spacing w:after="0"/>
              <w:rPr>
                <w:sz w:val="20"/>
                <w:szCs w:val="20"/>
                <w:color w:val="auto"/>
              </w:rPr>
            </w:pPr>
            <w:r>
              <w:rPr>
                <w:rFonts w:ascii="Arial" w:cs="Arial" w:eastAsia="Arial" w:hAnsi="Arial"/>
                <w:sz w:val="14"/>
                <w:szCs w:val="14"/>
                <w:b w:val="1"/>
                <w:bCs w:val="1"/>
                <w:color w:val="auto"/>
              </w:rPr>
              <w:t>Closing</w:t>
            </w:r>
          </w:p>
        </w:tc>
        <w:tc>
          <w:tcPr>
            <w:tcW w:w="180" w:type="dxa"/>
            <w:vAlign w:val="bottom"/>
          </w:tcPr>
          <w:p>
            <w:pPr>
              <w:spacing w:after="0"/>
              <w:rPr>
                <w:sz w:val="15"/>
                <w:szCs w:val="15"/>
                <w:color w:val="auto"/>
              </w:rPr>
            </w:pPr>
          </w:p>
        </w:tc>
        <w:tc>
          <w:tcPr>
            <w:tcW w:w="1320" w:type="dxa"/>
            <w:vAlign w:val="bottom"/>
          </w:tcPr>
          <w:p>
            <w:pPr>
              <w:jc w:val="center"/>
              <w:ind w:right="64"/>
              <w:spacing w:after="0"/>
              <w:rPr>
                <w:sz w:val="20"/>
                <w:szCs w:val="20"/>
                <w:color w:val="auto"/>
              </w:rPr>
            </w:pPr>
            <w:r>
              <w:rPr>
                <w:rFonts w:ascii="Arial" w:cs="Arial" w:eastAsia="Arial" w:hAnsi="Arial"/>
                <w:sz w:val="14"/>
                <w:szCs w:val="14"/>
                <w:b w:val="1"/>
                <w:bCs w:val="1"/>
                <w:color w:val="auto"/>
              </w:rPr>
              <w:t>Amounts Paid to</w:t>
            </w:r>
          </w:p>
        </w:tc>
      </w:tr>
      <w:tr>
        <w:trPr>
          <w:trHeight w:val="175"/>
        </w:trPr>
        <w:tc>
          <w:tcPr>
            <w:tcW w:w="3660" w:type="dxa"/>
            <w:vAlign w:val="bottom"/>
          </w:tcPr>
          <w:p>
            <w:pPr>
              <w:spacing w:after="0"/>
              <w:rPr>
                <w:sz w:val="15"/>
                <w:szCs w:val="15"/>
                <w:color w:val="auto"/>
              </w:rPr>
            </w:pPr>
          </w:p>
        </w:tc>
        <w:tc>
          <w:tcPr>
            <w:tcW w:w="1820" w:type="dxa"/>
            <w:vAlign w:val="bottom"/>
          </w:tcPr>
          <w:p>
            <w:pPr>
              <w:jc w:val="center"/>
              <w:ind w:left="24"/>
              <w:spacing w:after="0"/>
              <w:rPr>
                <w:sz w:val="20"/>
                <w:szCs w:val="20"/>
                <w:color w:val="auto"/>
              </w:rPr>
            </w:pPr>
            <w:r>
              <w:rPr>
                <w:rFonts w:ascii="Arial" w:cs="Arial" w:eastAsia="Arial" w:hAnsi="Arial"/>
                <w:sz w:val="14"/>
                <w:szCs w:val="14"/>
                <w:b w:val="1"/>
                <w:bCs w:val="1"/>
                <w:color w:val="auto"/>
              </w:rPr>
              <w:t>Number of</w:t>
            </w:r>
          </w:p>
        </w:tc>
        <w:tc>
          <w:tcPr>
            <w:tcW w:w="1440" w:type="dxa"/>
            <w:vAlign w:val="bottom"/>
          </w:tcPr>
          <w:p>
            <w:pPr>
              <w:jc w:val="center"/>
              <w:ind w:right="185"/>
              <w:spacing w:after="0"/>
              <w:rPr>
                <w:sz w:val="20"/>
                <w:szCs w:val="20"/>
                <w:color w:val="auto"/>
              </w:rPr>
            </w:pPr>
            <w:r>
              <w:rPr>
                <w:rFonts w:ascii="Arial" w:cs="Arial" w:eastAsia="Arial" w:hAnsi="Arial"/>
                <w:sz w:val="14"/>
                <w:szCs w:val="14"/>
                <w:b w:val="1"/>
                <w:bCs w:val="1"/>
                <w:color w:val="auto"/>
              </w:rPr>
              <w:t>Settled, or</w:t>
            </w:r>
          </w:p>
        </w:tc>
        <w:tc>
          <w:tcPr>
            <w:tcW w:w="1480" w:type="dxa"/>
            <w:vAlign w:val="bottom"/>
          </w:tcPr>
          <w:p>
            <w:pPr>
              <w:spacing w:after="0"/>
              <w:rPr>
                <w:sz w:val="15"/>
                <w:szCs w:val="15"/>
                <w:color w:val="auto"/>
              </w:rPr>
            </w:pPr>
          </w:p>
        </w:tc>
        <w:tc>
          <w:tcPr>
            <w:tcW w:w="1280" w:type="dxa"/>
            <w:vAlign w:val="bottom"/>
          </w:tcPr>
          <w:p>
            <w:pPr>
              <w:jc w:val="center"/>
              <w:ind w:right="44"/>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5"/>
                <w:szCs w:val="15"/>
                <w:color w:val="auto"/>
              </w:rPr>
            </w:pPr>
          </w:p>
        </w:tc>
        <w:tc>
          <w:tcPr>
            <w:tcW w:w="1320" w:type="dxa"/>
            <w:vAlign w:val="bottom"/>
          </w:tcPr>
          <w:p>
            <w:pPr>
              <w:jc w:val="center"/>
              <w:ind w:right="64"/>
              <w:spacing w:after="0"/>
              <w:rPr>
                <w:sz w:val="20"/>
                <w:szCs w:val="20"/>
                <w:color w:val="auto"/>
              </w:rPr>
            </w:pPr>
            <w:r>
              <w:rPr>
                <w:rFonts w:ascii="Arial" w:cs="Arial" w:eastAsia="Arial" w:hAnsi="Arial"/>
                <w:sz w:val="14"/>
                <w:szCs w:val="14"/>
                <w:b w:val="1"/>
                <w:bCs w:val="1"/>
                <w:color w:val="auto"/>
              </w:rPr>
              <w:t>Settle or</w:t>
            </w:r>
          </w:p>
        </w:tc>
      </w:tr>
      <w:tr>
        <w:trPr>
          <w:trHeight w:val="211"/>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number of claims)</w:t>
            </w:r>
          </w:p>
        </w:tc>
        <w:tc>
          <w:tcPr>
            <w:tcW w:w="1820" w:type="dxa"/>
            <w:vAlign w:val="bottom"/>
            <w:tcBorders>
              <w:bottom w:val="single" w:sz="8" w:color="auto"/>
            </w:tcBorders>
          </w:tcPr>
          <w:p>
            <w:pPr>
              <w:jc w:val="center"/>
              <w:ind w:left="4"/>
              <w:spacing w:after="0"/>
              <w:rPr>
                <w:sz w:val="20"/>
                <w:szCs w:val="20"/>
                <w:color w:val="auto"/>
              </w:rPr>
            </w:pPr>
            <w:r>
              <w:rPr>
                <w:rFonts w:ascii="Arial" w:cs="Arial" w:eastAsia="Arial" w:hAnsi="Arial"/>
                <w:sz w:val="14"/>
                <w:szCs w:val="14"/>
                <w:b w:val="1"/>
                <w:bCs w:val="1"/>
                <w:color w:val="auto"/>
              </w:rPr>
              <w:t>Claims</w:t>
            </w:r>
          </w:p>
        </w:tc>
        <w:tc>
          <w:tcPr>
            <w:tcW w:w="1440" w:type="dxa"/>
            <w:vAlign w:val="bottom"/>
            <w:tcBorders>
              <w:bottom w:val="single" w:sz="8" w:color="auto"/>
            </w:tcBorders>
          </w:tcPr>
          <w:p>
            <w:pPr>
              <w:jc w:val="center"/>
              <w:ind w:right="205"/>
              <w:spacing w:after="0"/>
              <w:rPr>
                <w:sz w:val="20"/>
                <w:szCs w:val="20"/>
                <w:color w:val="auto"/>
              </w:rPr>
            </w:pPr>
            <w:r>
              <w:rPr>
                <w:rFonts w:ascii="Arial" w:cs="Arial" w:eastAsia="Arial" w:hAnsi="Arial"/>
                <w:sz w:val="14"/>
                <w:szCs w:val="14"/>
                <w:b w:val="1"/>
                <w:bCs w:val="1"/>
                <w:color w:val="auto"/>
              </w:rPr>
              <w:t>Resolved</w:t>
            </w:r>
          </w:p>
        </w:tc>
        <w:tc>
          <w:tcPr>
            <w:tcW w:w="148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New Claims</w:t>
            </w:r>
          </w:p>
        </w:tc>
        <w:tc>
          <w:tcPr>
            <w:tcW w:w="128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rPr>
              <w:t>Claims</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Resolve</w:t>
            </w:r>
          </w:p>
        </w:tc>
      </w:tr>
      <w:tr>
        <w:trPr>
          <w:trHeight w:val="210"/>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Twelve months ended December 31, 2025</w:t>
            </w:r>
          </w:p>
        </w:tc>
        <w:tc>
          <w:tcPr>
            <w:tcW w:w="1820" w:type="dxa"/>
            <w:vAlign w:val="bottom"/>
            <w:shd w:val="clear" w:color="auto" w:fill="CCEEFF"/>
          </w:tcPr>
          <w:p>
            <w:pPr>
              <w:jc w:val="right"/>
              <w:ind w:right="144"/>
              <w:spacing w:after="0"/>
              <w:rPr>
                <w:sz w:val="20"/>
                <w:szCs w:val="20"/>
                <w:color w:val="auto"/>
              </w:rPr>
            </w:pPr>
            <w:r>
              <w:rPr>
                <w:rFonts w:ascii="Arial" w:cs="Arial" w:eastAsia="Arial" w:hAnsi="Arial"/>
                <w:sz w:val="16"/>
                <w:szCs w:val="16"/>
                <w:color w:val="auto"/>
              </w:rPr>
              <w:t>3,646</w:t>
            </w:r>
          </w:p>
        </w:tc>
        <w:tc>
          <w:tcPr>
            <w:tcW w:w="144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28</w:t>
            </w:r>
          </w:p>
        </w:tc>
        <w:tc>
          <w:tcPr>
            <w:tcW w:w="148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59</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3,677</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r>
      <w:tr>
        <w:trPr>
          <w:trHeight w:val="216"/>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Nine months ended September 30, 2026</w:t>
            </w:r>
          </w:p>
        </w:tc>
        <w:tc>
          <w:tcPr>
            <w:tcW w:w="1820" w:type="dxa"/>
            <w:vAlign w:val="bottom"/>
            <w:tcBorders>
              <w:bottom w:val="single" w:sz="8" w:color="auto"/>
            </w:tcBorders>
          </w:tcPr>
          <w:p>
            <w:pPr>
              <w:jc w:val="right"/>
              <w:ind w:right="144"/>
              <w:spacing w:after="0"/>
              <w:rPr>
                <w:sz w:val="20"/>
                <w:szCs w:val="20"/>
                <w:color w:val="auto"/>
              </w:rPr>
            </w:pPr>
            <w:r>
              <w:rPr>
                <w:rFonts w:ascii="Arial" w:cs="Arial" w:eastAsia="Arial" w:hAnsi="Arial"/>
                <w:sz w:val="16"/>
                <w:szCs w:val="16"/>
                <w:b w:val="1"/>
                <w:bCs w:val="1"/>
                <w:color w:val="auto"/>
              </w:rPr>
              <w:t>3,677</w:t>
            </w:r>
          </w:p>
        </w:tc>
        <w:tc>
          <w:tcPr>
            <w:tcW w:w="1440" w:type="dxa"/>
            <w:vAlign w:val="bottom"/>
            <w:tcBorders>
              <w:bottom w:val="single" w:sz="8" w:color="auto"/>
            </w:tcBorders>
          </w:tcPr>
          <w:p>
            <w:pPr>
              <w:jc w:val="right"/>
              <w:ind w:right="125"/>
              <w:spacing w:after="0"/>
              <w:rPr>
                <w:sz w:val="20"/>
                <w:szCs w:val="20"/>
                <w:color w:val="auto"/>
              </w:rPr>
            </w:pPr>
            <w:r>
              <w:rPr>
                <w:rFonts w:ascii="Arial" w:cs="Arial" w:eastAsia="Arial" w:hAnsi="Arial"/>
                <w:sz w:val="16"/>
                <w:szCs w:val="16"/>
                <w:b w:val="1"/>
                <w:bCs w:val="1"/>
                <w:color w:val="auto"/>
              </w:rPr>
              <w:t>47</w:t>
            </w:r>
          </w:p>
        </w:tc>
        <w:tc>
          <w:tcPr>
            <w:tcW w:w="14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32</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3,662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w:t>
            </w:r>
          </w:p>
        </w:tc>
      </w:tr>
    </w:tbl>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anticipate that additional claims will be filed against the Company and related companies in the future but are unable to predict the number and timing of such future claims. Due to the fact that information sufficient to meaningfully estimate a range of possible loss of a particular claim is typically not available until late in the discovery process, we do not believe a meaningful estimate can be made regarding the range of possible loss with respect to pending or future claims and therefore are unable to estimate a range of reasonably possible loss in excess of amounts already accrued for pending or future claims.</w:t>
      </w:r>
    </w:p>
    <w:p>
      <w:pPr>
        <w:spacing w:after="0" w:line="71"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8"/>
          <w:szCs w:val="18"/>
          <w:color w:val="auto"/>
        </w:rPr>
        <w:t>While we believe we have meritorious defenses to these claims, we have settled certain claims for amounts we consider reasonable given the facts and circumstances of each case. Our insurance carrier has defended each</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4" w:name="page25"/>
    <w:bookmarkEnd w:id="24"/>
    <w:p>
      <w:pPr>
        <w:jc w:val="both"/>
        <w:spacing w:after="0" w:line="262" w:lineRule="auto"/>
        <w:rPr>
          <w:sz w:val="20"/>
          <w:szCs w:val="20"/>
          <w:color w:val="auto"/>
        </w:rPr>
      </w:pPr>
      <w:r>
        <w:rPr>
          <w:rFonts w:ascii="Arial" w:cs="Arial" w:eastAsia="Arial" w:hAnsi="Arial"/>
          <w:sz w:val="18"/>
          <w:szCs w:val="18"/>
          <w:color w:val="auto"/>
        </w:rPr>
        <w:t>case and funded settlements under a standard reservation of rights. As of September 30, 2026, we had resolved, by means of settlement or dismissal, 38,126 claims at a total cost of $11 million. Of this amount, almost 100% was paid by our insurance carrier, who has confirmed that we have approximately $140 million of remaining coverage under primary and excess policies that should be available with respect to current and future asbestos claims.</w:t>
      </w:r>
    </w:p>
    <w:p>
      <w:pPr>
        <w:spacing w:after="0" w:line="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subsidiary, Brandon Drying Fabrics, Inc. (“Brandon”), is also a separate defendant in many of the asbestos cases in which Albany is named as a defendant, despite never having manufactured any fabrics containing asbestos. While Brandon was defending against 7,676 claims as of September 30, 2026, only twelve claims have been filed against Brandon since January 1, 2012, and only $15,000 in settlement costs have been incurred since 2001. Brandon was acquired by the Company in 1999 and has its own insurance policies covering periods prior to 1999. Since 2004, Brandon’s insurance carriers have covered 100% of indemnification and defense costs, subject to policy limits and a standard reservation of rights.</w:t>
      </w:r>
    </w:p>
    <w:p>
      <w:pPr>
        <w:spacing w:after="0" w:line="7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some of these asbestos cases, the Company is named both as a direct defendant and as the “successor in interest” to Mount Vernon Mills (“Mount Vernon”). We acquired certain assets from Mount Vernon in 1993. Certain plaintiffs allege injury caused by asbestos-containing products alleged to have been sold by Mount Vernon many years prior to this acquisition. Mount Vernon is contractually obligated to indemnify the Company against any liability arising out of such products. We deny any liability for products sold by Mount Vernon prior to the acquisition of the Mount Vernon assets. Pursuant to its contractual indemnification obligations, Mount Vernon has assumed the defense of these claims. On this basis, we have successfully moved for dismissal in a number of actions.</w:t>
      </w:r>
    </w:p>
    <w:p>
      <w:pPr>
        <w:spacing w:after="0" w:line="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currently do not anticipate, based on currently available information, that the ultimate resolution of the aforementioned proceedings will have a material adverse effect on the financial position, results of operations, or cash flows of the Company. Although we cannot predict the number and timing of future claims, based on the foregoing factors, the trends in claims filed against us, and available insurance, we also do not currently anticipate that potential future claims will have a material adverse effect on our financial position, results of operations, or cash flows.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18. Changes in Shareholders’ Equity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changes in Shareholders’ Equity for the three and nine month periods ended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500" w:type="dxa"/>
            <w:vAlign w:val="bottom"/>
          </w:tcPr>
          <w:p>
            <w:pPr>
              <w:spacing w:after="0"/>
              <w:rPr>
                <w:sz w:val="10"/>
                <w:szCs w:val="10"/>
                <w:color w:val="auto"/>
              </w:rPr>
            </w:pPr>
          </w:p>
        </w:tc>
        <w:tc>
          <w:tcPr>
            <w:tcW w:w="1720" w:type="dxa"/>
            <w:vAlign w:val="bottom"/>
            <w:gridSpan w:val="2"/>
          </w:tcPr>
          <w:p>
            <w:pPr>
              <w:jc w:val="center"/>
              <w:ind w:left="186"/>
              <w:spacing w:after="0"/>
              <w:rPr>
                <w:sz w:val="20"/>
                <w:szCs w:val="20"/>
                <w:color w:val="auto"/>
              </w:rPr>
            </w:pPr>
            <w:r>
              <w:rPr>
                <w:rFonts w:ascii="Arial" w:cs="Arial" w:eastAsia="Arial" w:hAnsi="Arial"/>
                <w:sz w:val="11"/>
                <w:szCs w:val="11"/>
                <w:b w:val="1"/>
                <w:bCs w:val="1"/>
                <w:color w:val="auto"/>
                <w:w w:val="99"/>
              </w:rPr>
              <w:t>Class A</w:t>
            </w: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40" w:type="dxa"/>
            <w:vAlign w:val="bottom"/>
          </w:tcPr>
          <w:p>
            <w:pPr>
              <w:ind w:left="800"/>
              <w:spacing w:after="0"/>
              <w:rPr>
                <w:sz w:val="20"/>
                <w:szCs w:val="20"/>
                <w:color w:val="auto"/>
              </w:rPr>
            </w:pPr>
            <w:r>
              <w:rPr>
                <w:rFonts w:ascii="Arial" w:cs="Arial" w:eastAsia="Arial" w:hAnsi="Arial"/>
                <w:sz w:val="11"/>
                <w:szCs w:val="11"/>
                <w:b w:val="1"/>
                <w:bCs w:val="1"/>
                <w:color w:val="auto"/>
              </w:rPr>
              <w:t>Class A</w:t>
            </w: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500" w:type="dxa"/>
            <w:vAlign w:val="bottom"/>
          </w:tcPr>
          <w:p>
            <w:pPr>
              <w:spacing w:after="0"/>
              <w:rPr>
                <w:sz w:val="13"/>
                <w:szCs w:val="13"/>
                <w:color w:val="auto"/>
              </w:rPr>
            </w:pPr>
          </w:p>
        </w:tc>
        <w:tc>
          <w:tcPr>
            <w:tcW w:w="1720" w:type="dxa"/>
            <w:vAlign w:val="bottom"/>
            <w:tcBorders>
              <w:bottom w:val="single" w:sz="8" w:color="auto"/>
            </w:tcBorders>
            <w:gridSpan w:val="2"/>
          </w:tcPr>
          <w:p>
            <w:pPr>
              <w:jc w:val="center"/>
              <w:ind w:left="186"/>
              <w:spacing w:after="0"/>
              <w:rPr>
                <w:sz w:val="20"/>
                <w:szCs w:val="20"/>
                <w:color w:val="auto"/>
              </w:rPr>
            </w:pPr>
            <w:r>
              <w:rPr>
                <w:rFonts w:ascii="Arial" w:cs="Arial" w:eastAsia="Arial" w:hAnsi="Arial"/>
                <w:sz w:val="11"/>
                <w:szCs w:val="11"/>
                <w:b w:val="1"/>
                <w:bCs w:val="1"/>
                <w:color w:val="auto"/>
                <w:w w:val="99"/>
              </w:rPr>
              <w:t>Common Stock</w:t>
            </w:r>
          </w:p>
        </w:tc>
        <w:tc>
          <w:tcPr>
            <w:tcW w:w="240" w:type="dxa"/>
            <w:vAlign w:val="bottom"/>
            <w:tcBorders>
              <w:bottom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0" w:type="dxa"/>
            <w:vAlign w:val="bottom"/>
            <w:tcBorders>
              <w:bottom w:val="single" w:sz="8" w:color="auto"/>
            </w:tcBorders>
            <w:gridSpan w:val="2"/>
          </w:tcPr>
          <w:p>
            <w:pPr>
              <w:jc w:val="right"/>
              <w:ind w:right="566"/>
              <w:spacing w:after="0"/>
              <w:rPr>
                <w:sz w:val="20"/>
                <w:szCs w:val="20"/>
                <w:color w:val="auto"/>
              </w:rPr>
            </w:pPr>
            <w:r>
              <w:rPr>
                <w:rFonts w:ascii="Arial" w:cs="Arial" w:eastAsia="Arial" w:hAnsi="Arial"/>
                <w:sz w:val="11"/>
                <w:szCs w:val="11"/>
                <w:b w:val="1"/>
                <w:bCs w:val="1"/>
                <w:color w:val="auto"/>
              </w:rPr>
              <w:t>Treasury Stock</w:t>
            </w: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15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Additional paid-</w:t>
            </w:r>
          </w:p>
        </w:tc>
        <w:tc>
          <w:tcPr>
            <w:tcW w:w="180" w:type="dxa"/>
            <w:vAlign w:val="bottom"/>
          </w:tcPr>
          <w:p>
            <w:pPr>
              <w:spacing w:after="0"/>
              <w:rPr>
                <w:sz w:val="7"/>
                <w:szCs w:val="7"/>
                <w:color w:val="auto"/>
              </w:rPr>
            </w:pPr>
          </w:p>
        </w:tc>
        <w:tc>
          <w:tcPr>
            <w:tcW w:w="820" w:type="dxa"/>
            <w:vAlign w:val="bottom"/>
            <w:vMerge w:val="restart"/>
          </w:tcPr>
          <w:p>
            <w:pPr>
              <w:jc w:val="right"/>
              <w:ind w:right="226"/>
              <w:spacing w:after="0"/>
              <w:rPr>
                <w:sz w:val="20"/>
                <w:szCs w:val="20"/>
                <w:color w:val="auto"/>
              </w:rPr>
            </w:pPr>
            <w:r>
              <w:rPr>
                <w:rFonts w:ascii="Arial" w:cs="Arial" w:eastAsia="Arial" w:hAnsi="Arial"/>
                <w:sz w:val="11"/>
                <w:szCs w:val="11"/>
                <w:b w:val="1"/>
                <w:bCs w:val="1"/>
                <w:color w:val="auto"/>
              </w:rPr>
              <w:t>Retained</w:t>
            </w:r>
          </w:p>
        </w:tc>
        <w:tc>
          <w:tcPr>
            <w:tcW w:w="120" w:type="dxa"/>
            <w:vAlign w:val="bottom"/>
          </w:tcPr>
          <w:p>
            <w:pPr>
              <w:spacing w:after="0"/>
              <w:rPr>
                <w:sz w:val="7"/>
                <w:szCs w:val="7"/>
                <w:color w:val="auto"/>
              </w:rPr>
            </w:pPr>
          </w:p>
        </w:tc>
        <w:tc>
          <w:tcPr>
            <w:tcW w:w="1300" w:type="dxa"/>
            <w:vAlign w:val="bottom"/>
          </w:tcPr>
          <w:p>
            <w:pPr>
              <w:jc w:val="center"/>
              <w:ind w:right="47"/>
              <w:spacing w:after="0" w:line="82" w:lineRule="exact"/>
              <w:rPr>
                <w:sz w:val="20"/>
                <w:szCs w:val="20"/>
                <w:color w:val="auto"/>
              </w:rPr>
            </w:pPr>
            <w:r>
              <w:rPr>
                <w:rFonts w:ascii="Arial" w:cs="Arial" w:eastAsia="Arial" w:hAnsi="Arial"/>
                <w:sz w:val="9"/>
                <w:szCs w:val="9"/>
                <w:b w:val="1"/>
                <w:bCs w:val="1"/>
                <w:color w:val="auto"/>
              </w:rPr>
              <w:t>Accumulated items of</w:t>
            </w:r>
          </w:p>
        </w:tc>
        <w:tc>
          <w:tcPr>
            <w:tcW w:w="1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vMerge w:val="restart"/>
          </w:tcPr>
          <w:p>
            <w:pPr>
              <w:jc w:val="right"/>
              <w:ind w:right="38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08"/>
        </w:trPr>
        <w:tc>
          <w:tcPr>
            <w:tcW w:w="1500" w:type="dxa"/>
            <w:vAlign w:val="bottom"/>
          </w:tcPr>
          <w:p>
            <w:pPr>
              <w:spacing w:after="0"/>
              <w:rPr>
                <w:sz w:val="9"/>
                <w:szCs w:val="9"/>
                <w:color w:val="auto"/>
              </w:rPr>
            </w:pPr>
          </w:p>
        </w:tc>
        <w:tc>
          <w:tcPr>
            <w:tcW w:w="960" w:type="dxa"/>
            <w:vAlign w:val="bottom"/>
            <w:vMerge w:val="restart"/>
          </w:tcPr>
          <w:p>
            <w:pPr>
              <w:jc w:val="right"/>
              <w:ind w:right="226"/>
              <w:spacing w:after="0"/>
              <w:rPr>
                <w:sz w:val="20"/>
                <w:szCs w:val="20"/>
                <w:color w:val="auto"/>
              </w:rPr>
            </w:pPr>
            <w:r>
              <w:rPr>
                <w:rFonts w:ascii="Arial" w:cs="Arial" w:eastAsia="Arial" w:hAnsi="Arial"/>
                <w:sz w:val="11"/>
                <w:szCs w:val="11"/>
                <w:b w:val="1"/>
                <w:bCs w:val="1"/>
                <w:color w:val="auto"/>
              </w:rPr>
              <w:t>Shares</w:t>
            </w:r>
          </w:p>
        </w:tc>
        <w:tc>
          <w:tcPr>
            <w:tcW w:w="7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Amount</w:t>
            </w:r>
          </w:p>
        </w:tc>
        <w:tc>
          <w:tcPr>
            <w:tcW w:w="24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jc w:val="center"/>
              <w:ind w:right="47"/>
              <w:spacing w:after="0" w:line="108" w:lineRule="exact"/>
              <w:rPr>
                <w:sz w:val="20"/>
                <w:szCs w:val="20"/>
                <w:color w:val="auto"/>
              </w:rPr>
            </w:pPr>
            <w:r>
              <w:rPr>
                <w:rFonts w:ascii="Arial" w:cs="Arial" w:eastAsia="Arial" w:hAnsi="Arial"/>
                <w:sz w:val="11"/>
                <w:szCs w:val="11"/>
                <w:b w:val="1"/>
                <w:bCs w:val="1"/>
                <w:color w:val="auto"/>
                <w:w w:val="97"/>
              </w:rPr>
              <w:t>other comprehensive</w:t>
            </w:r>
          </w:p>
        </w:tc>
        <w:tc>
          <w:tcPr>
            <w:tcW w:w="124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Shares</w:t>
            </w:r>
          </w:p>
        </w:tc>
        <w:tc>
          <w:tcPr>
            <w:tcW w:w="760" w:type="dxa"/>
            <w:vAlign w:val="bottom"/>
            <w:vMerge w:val="restart"/>
          </w:tcPr>
          <w:p>
            <w:pPr>
              <w:jc w:val="right"/>
              <w:ind w:right="246"/>
              <w:spacing w:after="0"/>
              <w:rPr>
                <w:sz w:val="20"/>
                <w:szCs w:val="20"/>
                <w:color w:val="auto"/>
              </w:rPr>
            </w:pPr>
            <w:r>
              <w:rPr>
                <w:rFonts w:ascii="Arial" w:cs="Arial" w:eastAsia="Arial" w:hAnsi="Arial"/>
                <w:sz w:val="11"/>
                <w:szCs w:val="11"/>
                <w:b w:val="1"/>
                <w:bCs w:val="1"/>
                <w:color w:val="auto"/>
              </w:rPr>
              <w:t>Amount</w:t>
            </w: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5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in capital</w:t>
            </w:r>
          </w:p>
        </w:tc>
        <w:tc>
          <w:tcPr>
            <w:tcW w:w="5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b w:val="1"/>
                <w:bCs w:val="1"/>
                <w:color w:val="auto"/>
              </w:rPr>
              <w:t>earnings</w:t>
            </w:r>
          </w:p>
        </w:tc>
        <w:tc>
          <w:tcPr>
            <w:tcW w:w="1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center"/>
              <w:ind w:right="67"/>
              <w:spacing w:after="0"/>
              <w:rPr>
                <w:sz w:val="20"/>
                <w:szCs w:val="20"/>
                <w:color w:val="auto"/>
              </w:rPr>
            </w:pPr>
            <w:r>
              <w:rPr>
                <w:rFonts w:ascii="Arial" w:cs="Arial" w:eastAsia="Arial" w:hAnsi="Arial"/>
                <w:sz w:val="11"/>
                <w:szCs w:val="11"/>
                <w:b w:val="1"/>
                <w:bCs w:val="1"/>
                <w:color w:val="auto"/>
                <w:w w:val="98"/>
              </w:rPr>
              <w:t>income</w:t>
            </w:r>
          </w:p>
        </w:tc>
        <w:tc>
          <w:tcPr>
            <w:tcW w:w="1240" w:type="dxa"/>
            <w:vAlign w:val="bottom"/>
            <w:tcBorders>
              <w:bottom w:val="single" w:sz="8" w:color="auto"/>
            </w:tcBorders>
            <w:vMerge w:val="continue"/>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2340" w:type="dxa"/>
            <w:vAlign w:val="bottom"/>
            <w:tcBorders>
              <w:bottom w:val="single" w:sz="8" w:color="auto"/>
            </w:tcBorders>
            <w:gridSpan w:val="4"/>
          </w:tcPr>
          <w:p>
            <w:pPr>
              <w:ind w:left="20"/>
              <w:spacing w:after="0"/>
              <w:rPr>
                <w:sz w:val="20"/>
                <w:szCs w:val="20"/>
                <w:color w:val="auto"/>
              </w:rPr>
            </w:pPr>
            <w:r>
              <w:rPr>
                <w:rFonts w:ascii="Arial" w:cs="Arial" w:eastAsia="Arial" w:hAnsi="Arial"/>
                <w:sz w:val="11"/>
                <w:szCs w:val="11"/>
                <w:b w:val="1"/>
                <w:bCs w:val="1"/>
                <w:color w:val="auto"/>
                <w:w w:val="98"/>
              </w:rPr>
              <w:t>Noncontrolling Interest Shareholders' Equity</w:t>
            </w:r>
          </w:p>
        </w:tc>
        <w:tc>
          <w:tcPr>
            <w:tcW w:w="0" w:type="dxa"/>
            <w:vAlign w:val="bottom"/>
          </w:tcPr>
          <w:p>
            <w:pPr>
              <w:spacing w:after="0"/>
              <w:rPr>
                <w:sz w:val="1"/>
                <w:szCs w:val="1"/>
                <w:color w:val="auto"/>
              </w:rPr>
            </w:pPr>
          </w:p>
        </w:tc>
      </w:tr>
      <w:tr>
        <w:trPr>
          <w:trHeight w:val="155"/>
        </w:trPr>
        <w:tc>
          <w:tcPr>
            <w:tcW w:w="1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June 30, 2026</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41,057</w:t>
            </w:r>
          </w:p>
        </w:tc>
        <w:tc>
          <w:tcPr>
            <w:tcW w:w="76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41</w:t>
            </w:r>
          </w:p>
        </w:tc>
        <w:tc>
          <w:tcPr>
            <w:tcW w:w="5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464,148</w:t>
            </w:r>
          </w:p>
        </w:tc>
        <w:tc>
          <w:tcPr>
            <w:tcW w:w="1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993,170</w:t>
            </w:r>
          </w:p>
        </w:tc>
        <w:tc>
          <w:tcPr>
            <w:tcW w:w="12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(144,677)</w:t>
            </w:r>
          </w:p>
        </w:tc>
        <w:tc>
          <w:tcPr>
            <w:tcW w:w="12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1"/>
                <w:szCs w:val="11"/>
                <w:b w:val="1"/>
                <w:bCs w:val="1"/>
                <w:color w:val="auto"/>
              </w:rPr>
              <w:t>12,686</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(566,993)</w:t>
            </w:r>
          </w:p>
        </w:tc>
        <w:tc>
          <w:tcPr>
            <w:tcW w:w="4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6,400</w:t>
            </w:r>
          </w:p>
        </w:tc>
        <w:tc>
          <w:tcPr>
            <w:tcW w:w="26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752,089</w:t>
            </w:r>
          </w:p>
        </w:tc>
        <w:tc>
          <w:tcPr>
            <w:tcW w:w="0" w:type="dxa"/>
            <w:vAlign w:val="bottom"/>
          </w:tcPr>
          <w:p>
            <w:pPr>
              <w:spacing w:after="0"/>
              <w:rPr>
                <w:sz w:val="1"/>
                <w:szCs w:val="1"/>
                <w:color w:val="auto"/>
              </w:rPr>
            </w:pPr>
          </w:p>
        </w:tc>
      </w:tr>
      <w:tr>
        <w:trPr>
          <w:trHeight w:val="152"/>
        </w:trPr>
        <w:tc>
          <w:tcPr>
            <w:tcW w:w="150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41,697</w:t>
            </w: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189</w:t>
            </w:r>
          </w:p>
        </w:tc>
        <w:tc>
          <w:tcPr>
            <w:tcW w:w="260" w:type="dxa"/>
            <w:vAlign w:val="bottom"/>
          </w:tcPr>
          <w:p>
            <w:pPr>
              <w:spacing w:after="0"/>
              <w:rPr>
                <w:sz w:val="13"/>
                <w:szCs w:val="13"/>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41,886</w:t>
            </w:r>
          </w:p>
        </w:tc>
        <w:tc>
          <w:tcPr>
            <w:tcW w:w="0" w:type="dxa"/>
            <w:vAlign w:val="bottom"/>
          </w:tcPr>
          <w:p>
            <w:pPr>
              <w:spacing w:after="0"/>
              <w:rPr>
                <w:sz w:val="1"/>
                <w:szCs w:val="1"/>
                <w:color w:val="auto"/>
              </w:rPr>
            </w:pPr>
          </w:p>
        </w:tc>
      </w:tr>
      <w:tr>
        <w:trPr>
          <w:trHeight w:val="118"/>
        </w:trPr>
        <w:tc>
          <w:tcPr>
            <w:tcW w:w="15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Stock issued under incentive</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14</w:t>
            </w:r>
          </w:p>
        </w:tc>
        <w:tc>
          <w:tcPr>
            <w:tcW w:w="7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1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compensation plans</w:t>
            </w:r>
          </w:p>
        </w:tc>
        <w:tc>
          <w:tcPr>
            <w:tcW w:w="960" w:type="dxa"/>
            <w:vAlign w:val="bottom"/>
            <w:vMerge w:val="continue"/>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500" w:type="dxa"/>
            <w:vAlign w:val="bottom"/>
          </w:tcPr>
          <w:p>
            <w:pPr>
              <w:ind w:left="20"/>
              <w:spacing w:after="0" w:line="109" w:lineRule="exact"/>
              <w:rPr>
                <w:sz w:val="20"/>
                <w:szCs w:val="20"/>
                <w:color w:val="auto"/>
              </w:rPr>
            </w:pPr>
            <w:r>
              <w:rPr>
                <w:rFonts w:ascii="Arial" w:cs="Arial" w:eastAsia="Arial" w:hAnsi="Arial"/>
                <w:sz w:val="11"/>
                <w:szCs w:val="11"/>
                <w:color w:val="auto"/>
              </w:rPr>
              <w:t>Taxes paid in lieu of share</w:t>
            </w: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(311)</w:t>
            </w: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1"/>
                <w:szCs w:val="11"/>
                <w:color w:val="auto"/>
              </w:rPr>
              <w:t>(311)</w:t>
            </w:r>
          </w:p>
        </w:tc>
        <w:tc>
          <w:tcPr>
            <w:tcW w:w="0" w:type="dxa"/>
            <w:vAlign w:val="bottom"/>
          </w:tcPr>
          <w:p>
            <w:pPr>
              <w:spacing w:after="0"/>
              <w:rPr>
                <w:sz w:val="1"/>
                <w:szCs w:val="1"/>
                <w:color w:val="auto"/>
              </w:rPr>
            </w:pPr>
          </w:p>
        </w:tc>
      </w:tr>
      <w:tr>
        <w:trPr>
          <w:trHeight w:val="142"/>
        </w:trPr>
        <w:tc>
          <w:tcPr>
            <w:tcW w:w="1500" w:type="dxa"/>
            <w:vAlign w:val="bottom"/>
          </w:tcPr>
          <w:p>
            <w:pPr>
              <w:ind w:left="20"/>
              <w:spacing w:after="0"/>
              <w:rPr>
                <w:sz w:val="20"/>
                <w:szCs w:val="20"/>
                <w:color w:val="auto"/>
              </w:rPr>
            </w:pPr>
            <w:r>
              <w:rPr>
                <w:rFonts w:ascii="Arial" w:cs="Arial" w:eastAsia="Arial" w:hAnsi="Arial"/>
                <w:sz w:val="11"/>
                <w:szCs w:val="11"/>
                <w:color w:val="auto"/>
              </w:rPr>
              <w:t>issuance</w:t>
            </w: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Stock-based compensation</w:t>
            </w:r>
          </w:p>
        </w:tc>
        <w:tc>
          <w:tcPr>
            <w:tcW w:w="96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2,741</w:t>
            </w:r>
          </w:p>
        </w:tc>
        <w:tc>
          <w:tcPr>
            <w:tcW w:w="1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2,741</w:t>
            </w:r>
          </w:p>
        </w:tc>
        <w:tc>
          <w:tcPr>
            <w:tcW w:w="0" w:type="dxa"/>
            <w:vAlign w:val="bottom"/>
          </w:tcPr>
          <w:p>
            <w:pPr>
              <w:spacing w:after="0"/>
              <w:rPr>
                <w:sz w:val="1"/>
                <w:szCs w:val="1"/>
                <w:color w:val="auto"/>
              </w:rPr>
            </w:pPr>
          </w:p>
        </w:tc>
      </w:tr>
      <w:tr>
        <w:trPr>
          <w:trHeight w:val="108"/>
        </w:trPr>
        <w:tc>
          <w:tcPr>
            <w:tcW w:w="1500" w:type="dxa"/>
            <w:vAlign w:val="bottom"/>
          </w:tcPr>
          <w:p>
            <w:pPr>
              <w:ind w:left="20"/>
              <w:spacing w:after="0" w:line="109" w:lineRule="exact"/>
              <w:rPr>
                <w:sz w:val="20"/>
                <w:szCs w:val="20"/>
                <w:color w:val="auto"/>
              </w:rPr>
            </w:pPr>
            <w:r>
              <w:rPr>
                <w:rFonts w:ascii="Arial" w:cs="Arial" w:eastAsia="Arial" w:hAnsi="Arial"/>
                <w:sz w:val="11"/>
                <w:szCs w:val="11"/>
                <w:color w:val="auto"/>
              </w:rPr>
              <w:t>Dividends declared on Class</w:t>
            </w: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00" w:type="dxa"/>
            <w:vAlign w:val="bottom"/>
          </w:tcPr>
          <w:p>
            <w:pPr>
              <w:ind w:left="20"/>
              <w:spacing w:after="0" w:line="108" w:lineRule="exact"/>
              <w:rPr>
                <w:sz w:val="20"/>
                <w:szCs w:val="20"/>
                <w:color w:val="auto"/>
              </w:rPr>
            </w:pPr>
            <w:r>
              <w:rPr>
                <w:rFonts w:ascii="Arial" w:cs="Arial" w:eastAsia="Arial" w:hAnsi="Arial"/>
                <w:sz w:val="11"/>
                <w:szCs w:val="11"/>
                <w:color w:val="auto"/>
              </w:rPr>
              <w:t>A Common Stock, $0.28 per</w:t>
            </w: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(7,948)</w:t>
            </w: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1"/>
                <w:szCs w:val="11"/>
                <w:color w:val="auto"/>
              </w:rPr>
              <w:t>(7,948)</w:t>
            </w:r>
          </w:p>
        </w:tc>
        <w:tc>
          <w:tcPr>
            <w:tcW w:w="0" w:type="dxa"/>
            <w:vAlign w:val="bottom"/>
          </w:tcPr>
          <w:p>
            <w:pPr>
              <w:spacing w:after="0"/>
              <w:rPr>
                <w:sz w:val="1"/>
                <w:szCs w:val="1"/>
                <w:color w:val="auto"/>
              </w:rPr>
            </w:pPr>
          </w:p>
        </w:tc>
      </w:tr>
      <w:tr>
        <w:trPr>
          <w:trHeight w:val="142"/>
        </w:trPr>
        <w:tc>
          <w:tcPr>
            <w:tcW w:w="1500" w:type="dxa"/>
            <w:vAlign w:val="bottom"/>
          </w:tcPr>
          <w:p>
            <w:pPr>
              <w:ind w:left="20"/>
              <w:spacing w:after="0"/>
              <w:rPr>
                <w:sz w:val="20"/>
                <w:szCs w:val="20"/>
                <w:color w:val="auto"/>
              </w:rPr>
            </w:pPr>
            <w:r>
              <w:rPr>
                <w:rFonts w:ascii="Arial" w:cs="Arial" w:eastAsia="Arial" w:hAnsi="Arial"/>
                <w:sz w:val="11"/>
                <w:szCs w:val="11"/>
                <w:color w:val="auto"/>
              </w:rPr>
              <w:t>share</w:t>
            </w: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50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Cumulative translation</w:t>
            </w:r>
          </w:p>
        </w:tc>
        <w:tc>
          <w:tcPr>
            <w:tcW w:w="9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(3,630)</w:t>
            </w:r>
          </w:p>
        </w:tc>
        <w:tc>
          <w:tcPr>
            <w:tcW w:w="12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(140)</w:t>
            </w:r>
          </w:p>
        </w:tc>
        <w:tc>
          <w:tcPr>
            <w:tcW w:w="26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(3,770)</w:t>
            </w:r>
          </w:p>
        </w:tc>
        <w:tc>
          <w:tcPr>
            <w:tcW w:w="0" w:type="dxa"/>
            <w:vAlign w:val="bottom"/>
          </w:tcPr>
          <w:p>
            <w:pPr>
              <w:spacing w:after="0"/>
              <w:rPr>
                <w:sz w:val="1"/>
                <w:szCs w:val="1"/>
                <w:color w:val="auto"/>
              </w:rPr>
            </w:pPr>
          </w:p>
        </w:tc>
      </w:tr>
      <w:tr>
        <w:trPr>
          <w:trHeight w:val="142"/>
        </w:trPr>
        <w:tc>
          <w:tcPr>
            <w:tcW w:w="1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adjustments</w:t>
            </w:r>
          </w:p>
        </w:tc>
        <w:tc>
          <w:tcPr>
            <w:tcW w:w="96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vMerge w:val="continue"/>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500" w:type="dxa"/>
            <w:vAlign w:val="bottom"/>
          </w:tcPr>
          <w:p>
            <w:pPr>
              <w:ind w:left="20"/>
              <w:spacing w:after="0" w:line="109" w:lineRule="exact"/>
              <w:rPr>
                <w:sz w:val="20"/>
                <w:szCs w:val="20"/>
                <w:color w:val="auto"/>
              </w:rPr>
            </w:pPr>
            <w:r>
              <w:rPr>
                <w:rFonts w:ascii="Arial" w:cs="Arial" w:eastAsia="Arial" w:hAnsi="Arial"/>
                <w:sz w:val="11"/>
                <w:szCs w:val="11"/>
                <w:color w:val="auto"/>
              </w:rPr>
              <w:t>Pension and postretirement</w:t>
            </w: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vMerge w:val="restart"/>
          </w:tcPr>
          <w:p>
            <w:pPr>
              <w:jc w:val="right"/>
              <w:ind w:right="7"/>
              <w:spacing w:after="0"/>
              <w:rPr>
                <w:sz w:val="20"/>
                <w:szCs w:val="20"/>
                <w:color w:val="auto"/>
              </w:rPr>
            </w:pPr>
            <w:r>
              <w:rPr>
                <w:rFonts w:ascii="Arial" w:cs="Arial" w:eastAsia="Arial" w:hAnsi="Arial"/>
                <w:sz w:val="11"/>
                <w:szCs w:val="11"/>
                <w:color w:val="auto"/>
              </w:rPr>
              <w:t>227</w:t>
            </w:r>
          </w:p>
        </w:tc>
        <w:tc>
          <w:tcPr>
            <w:tcW w:w="1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vMerge w:val="restart"/>
          </w:tcPr>
          <w:p>
            <w:pPr>
              <w:jc w:val="right"/>
              <w:ind w:right="6"/>
              <w:spacing w:after="0"/>
              <w:rPr>
                <w:sz w:val="20"/>
                <w:szCs w:val="20"/>
                <w:color w:val="auto"/>
              </w:rPr>
            </w:pPr>
            <w:r>
              <w:rPr>
                <w:rFonts w:ascii="Arial" w:cs="Arial" w:eastAsia="Arial" w:hAnsi="Arial"/>
                <w:sz w:val="11"/>
                <w:szCs w:val="11"/>
                <w:color w:val="auto"/>
              </w:rPr>
              <w:t>227</w:t>
            </w:r>
          </w:p>
        </w:tc>
        <w:tc>
          <w:tcPr>
            <w:tcW w:w="0" w:type="dxa"/>
            <w:vAlign w:val="bottom"/>
          </w:tcPr>
          <w:p>
            <w:pPr>
              <w:spacing w:after="0"/>
              <w:rPr>
                <w:sz w:val="1"/>
                <w:szCs w:val="1"/>
                <w:color w:val="auto"/>
              </w:rPr>
            </w:pPr>
          </w:p>
        </w:tc>
      </w:tr>
      <w:tr>
        <w:trPr>
          <w:trHeight w:val="155"/>
        </w:trPr>
        <w:tc>
          <w:tcPr>
            <w:tcW w:w="15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liability adjustments</w:t>
            </w:r>
          </w:p>
        </w:tc>
        <w:tc>
          <w:tcPr>
            <w:tcW w:w="9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vMerge w:val="continue"/>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50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Derivative valuation</w:t>
            </w:r>
          </w:p>
        </w:tc>
        <w:tc>
          <w:tcPr>
            <w:tcW w:w="9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(56)</w:t>
            </w:r>
          </w:p>
        </w:tc>
        <w:tc>
          <w:tcPr>
            <w:tcW w:w="120" w:type="dxa"/>
            <w:vAlign w:val="bottom"/>
            <w:shd w:val="clear" w:color="auto" w:fill="CCEEFF"/>
          </w:tcPr>
          <w:p>
            <w:pPr>
              <w:spacing w:after="0"/>
              <w:rPr>
                <w:sz w:val="9"/>
                <w:szCs w:val="9"/>
                <w:color w:val="auto"/>
              </w:rPr>
            </w:pPr>
          </w:p>
        </w:tc>
        <w:tc>
          <w:tcPr>
            <w:tcW w:w="130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3,256</w:t>
            </w:r>
          </w:p>
        </w:tc>
        <w:tc>
          <w:tcPr>
            <w:tcW w:w="12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3,200</w:t>
            </w:r>
          </w:p>
        </w:tc>
        <w:tc>
          <w:tcPr>
            <w:tcW w:w="0" w:type="dxa"/>
            <w:vAlign w:val="bottom"/>
          </w:tcPr>
          <w:p>
            <w:pPr>
              <w:spacing w:after="0"/>
              <w:rPr>
                <w:sz w:val="1"/>
                <w:szCs w:val="1"/>
                <w:color w:val="auto"/>
              </w:rPr>
            </w:pPr>
          </w:p>
        </w:tc>
      </w:tr>
      <w:tr>
        <w:trPr>
          <w:trHeight w:val="155"/>
        </w:trPr>
        <w:tc>
          <w:tcPr>
            <w:tcW w:w="1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adjustment and other</w:t>
            </w:r>
          </w:p>
        </w:tc>
        <w:tc>
          <w:tcPr>
            <w:tcW w:w="96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vMerge w:val="continue"/>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5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September 30, 2026</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41,071</w:t>
            </w:r>
          </w:p>
        </w:tc>
        <w:tc>
          <w:tcPr>
            <w:tcW w:w="760" w:type="dxa"/>
            <w:vAlign w:val="bottom"/>
            <w:tcBorders>
              <w:bottom w:val="single" w:sz="8" w:color="auto"/>
            </w:tcBorders>
          </w:tcPr>
          <w:p>
            <w:pPr>
              <w:jc w:val="right"/>
              <w:ind w:right="606"/>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41</w:t>
            </w:r>
          </w:p>
        </w:tc>
        <w:tc>
          <w:tcPr>
            <w:tcW w:w="52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466,578</w:t>
            </w:r>
          </w:p>
        </w:tc>
        <w:tc>
          <w:tcPr>
            <w:tcW w:w="1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1,026,863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(144,824)</w:t>
            </w:r>
          </w:p>
        </w:tc>
        <w:tc>
          <w:tcPr>
            <w:tcW w:w="1240" w:type="dxa"/>
            <w:vAlign w:val="bottom"/>
            <w:tcBorders>
              <w:bottom w:val="single" w:sz="8" w:color="auto"/>
            </w:tcBorders>
          </w:tcPr>
          <w:p>
            <w:pPr>
              <w:ind w:left="600"/>
              <w:spacing w:after="0"/>
              <w:rPr>
                <w:sz w:val="20"/>
                <w:szCs w:val="20"/>
                <w:color w:val="auto"/>
              </w:rPr>
            </w:pPr>
            <w:r>
              <w:rPr>
                <w:rFonts w:ascii="Arial" w:cs="Arial" w:eastAsia="Arial" w:hAnsi="Arial"/>
                <w:sz w:val="11"/>
                <w:szCs w:val="11"/>
                <w:color w:val="auto"/>
              </w:rPr>
              <w:t>12,686  $</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(566,993)</w:t>
            </w:r>
          </w:p>
        </w:tc>
        <w:tc>
          <w:tcPr>
            <w:tcW w:w="48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6,449</w:t>
            </w:r>
          </w:p>
        </w:tc>
        <w:tc>
          <w:tcPr>
            <w:tcW w:w="2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788,114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26"/>
        </w:trPr>
        <w:tc>
          <w:tcPr>
            <w:tcW w:w="1640" w:type="dxa"/>
            <w:vAlign w:val="bottom"/>
          </w:tcPr>
          <w:p>
            <w:pPr>
              <w:spacing w:after="0"/>
              <w:rPr>
                <w:sz w:val="10"/>
                <w:szCs w:val="10"/>
                <w:color w:val="auto"/>
              </w:rPr>
            </w:pPr>
          </w:p>
        </w:tc>
        <w:tc>
          <w:tcPr>
            <w:tcW w:w="1180" w:type="dxa"/>
            <w:vAlign w:val="bottom"/>
            <w:gridSpan w:val="2"/>
          </w:tcPr>
          <w:p>
            <w:pPr>
              <w:jc w:val="right"/>
              <w:spacing w:after="0"/>
              <w:rPr>
                <w:sz w:val="20"/>
                <w:szCs w:val="20"/>
                <w:color w:val="auto"/>
              </w:rPr>
            </w:pPr>
            <w:r>
              <w:rPr>
                <w:rFonts w:ascii="Arial" w:cs="Arial" w:eastAsia="Arial" w:hAnsi="Arial"/>
                <w:sz w:val="11"/>
                <w:szCs w:val="11"/>
                <w:b w:val="1"/>
                <w:bCs w:val="1"/>
                <w:color w:val="auto"/>
              </w:rPr>
              <w:t>Class A</w:t>
            </w: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vMerge w:val="restart"/>
          </w:tcPr>
          <w:p>
            <w:pPr>
              <w:jc w:val="center"/>
              <w:ind w:right="26"/>
              <w:spacing w:after="0"/>
              <w:rPr>
                <w:sz w:val="20"/>
                <w:szCs w:val="20"/>
                <w:color w:val="auto"/>
              </w:rPr>
            </w:pPr>
            <w:r>
              <w:rPr>
                <w:rFonts w:ascii="Arial" w:cs="Arial" w:eastAsia="Arial" w:hAnsi="Arial"/>
                <w:sz w:val="11"/>
                <w:szCs w:val="11"/>
                <w:b w:val="1"/>
                <w:bCs w:val="1"/>
                <w:color w:val="auto"/>
                <w:w w:val="99"/>
              </w:rPr>
              <w:t>Accumulated items</w:t>
            </w:r>
          </w:p>
        </w:tc>
        <w:tc>
          <w:tcPr>
            <w:tcW w:w="1200" w:type="dxa"/>
            <w:vAlign w:val="bottom"/>
            <w:gridSpan w:val="2"/>
          </w:tcPr>
          <w:p>
            <w:pPr>
              <w:jc w:val="right"/>
              <w:spacing w:after="0"/>
              <w:rPr>
                <w:sz w:val="20"/>
                <w:szCs w:val="20"/>
                <w:color w:val="auto"/>
              </w:rPr>
            </w:pPr>
            <w:r>
              <w:rPr>
                <w:rFonts w:ascii="Arial" w:cs="Arial" w:eastAsia="Arial" w:hAnsi="Arial"/>
                <w:sz w:val="11"/>
                <w:szCs w:val="11"/>
                <w:b w:val="1"/>
                <w:bCs w:val="1"/>
                <w:color w:val="auto"/>
              </w:rPr>
              <w:t>Class A</w:t>
            </w: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1640" w:type="dxa"/>
            <w:vAlign w:val="bottom"/>
          </w:tcPr>
          <w:p>
            <w:pPr>
              <w:spacing w:after="0"/>
              <w:rPr>
                <w:sz w:val="3"/>
                <w:szCs w:val="3"/>
                <w:color w:val="auto"/>
              </w:rPr>
            </w:pPr>
          </w:p>
        </w:tc>
        <w:tc>
          <w:tcPr>
            <w:tcW w:w="1900" w:type="dxa"/>
            <w:vAlign w:val="bottom"/>
            <w:gridSpan w:val="3"/>
            <w:vMerge w:val="restart"/>
          </w:tcPr>
          <w:p>
            <w:pPr>
              <w:jc w:val="right"/>
              <w:ind w:right="506"/>
              <w:spacing w:after="0"/>
              <w:rPr>
                <w:sz w:val="20"/>
                <w:szCs w:val="20"/>
                <w:color w:val="auto"/>
              </w:rPr>
            </w:pPr>
            <w:r>
              <w:rPr>
                <w:rFonts w:ascii="Arial" w:cs="Arial" w:eastAsia="Arial" w:hAnsi="Arial"/>
                <w:sz w:val="11"/>
                <w:szCs w:val="11"/>
                <w:b w:val="1"/>
                <w:bCs w:val="1"/>
                <w:color w:val="auto"/>
              </w:rPr>
              <w:t>Common Stock</w:t>
            </w: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1920" w:type="dxa"/>
            <w:vAlign w:val="bottom"/>
            <w:gridSpan w:val="3"/>
            <w:vMerge w:val="restart"/>
          </w:tcPr>
          <w:p>
            <w:pPr>
              <w:jc w:val="right"/>
              <w:ind w:right="526"/>
              <w:spacing w:after="0"/>
              <w:rPr>
                <w:sz w:val="20"/>
                <w:szCs w:val="20"/>
                <w:color w:val="auto"/>
              </w:rPr>
            </w:pPr>
            <w:r>
              <w:rPr>
                <w:rFonts w:ascii="Arial" w:cs="Arial" w:eastAsia="Arial" w:hAnsi="Arial"/>
                <w:sz w:val="11"/>
                <w:szCs w:val="11"/>
                <w:b w:val="1"/>
                <w:bCs w:val="1"/>
                <w:color w:val="auto"/>
              </w:rPr>
              <w:t>Treasury Stock</w:t>
            </w:r>
          </w:p>
        </w:tc>
        <w:tc>
          <w:tcPr>
            <w:tcW w:w="5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1640" w:type="dxa"/>
            <w:vAlign w:val="bottom"/>
          </w:tcPr>
          <w:p>
            <w:pPr>
              <w:spacing w:after="0"/>
              <w:rPr>
                <w:sz w:val="9"/>
                <w:szCs w:val="9"/>
                <w:color w:val="auto"/>
              </w:rPr>
            </w:pPr>
          </w:p>
        </w:tc>
        <w:tc>
          <w:tcPr>
            <w:tcW w:w="1900" w:type="dxa"/>
            <w:vAlign w:val="bottom"/>
            <w:tcBorders>
              <w:bottom w:val="single" w:sz="8" w:color="auto"/>
            </w:tcBorders>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vMerge w:val="restart"/>
          </w:tcPr>
          <w:p>
            <w:pPr>
              <w:jc w:val="right"/>
              <w:ind w:right="226"/>
              <w:spacing w:after="0"/>
              <w:rPr>
                <w:sz w:val="20"/>
                <w:szCs w:val="20"/>
                <w:color w:val="auto"/>
              </w:rPr>
            </w:pPr>
            <w:r>
              <w:rPr>
                <w:rFonts w:ascii="Arial" w:cs="Arial" w:eastAsia="Arial" w:hAnsi="Arial"/>
                <w:sz w:val="11"/>
                <w:szCs w:val="11"/>
                <w:b w:val="1"/>
                <w:bCs w:val="1"/>
                <w:color w:val="auto"/>
              </w:rPr>
              <w:t>Retained</w:t>
            </w:r>
          </w:p>
        </w:tc>
        <w:tc>
          <w:tcPr>
            <w:tcW w:w="80" w:type="dxa"/>
            <w:vAlign w:val="bottom"/>
          </w:tcPr>
          <w:p>
            <w:pPr>
              <w:spacing w:after="0"/>
              <w:rPr>
                <w:sz w:val="9"/>
                <w:szCs w:val="9"/>
                <w:color w:val="auto"/>
              </w:rPr>
            </w:pPr>
          </w:p>
        </w:tc>
        <w:tc>
          <w:tcPr>
            <w:tcW w:w="1080" w:type="dxa"/>
            <w:vAlign w:val="bottom"/>
          </w:tcPr>
          <w:p>
            <w:pPr>
              <w:jc w:val="center"/>
              <w:ind w:right="46"/>
              <w:spacing w:after="0" w:line="108" w:lineRule="exact"/>
              <w:rPr>
                <w:sz w:val="20"/>
                <w:szCs w:val="20"/>
                <w:color w:val="auto"/>
              </w:rPr>
            </w:pPr>
            <w:r>
              <w:rPr>
                <w:rFonts w:ascii="Arial" w:cs="Arial" w:eastAsia="Arial" w:hAnsi="Arial"/>
                <w:sz w:val="11"/>
                <w:szCs w:val="11"/>
                <w:b w:val="1"/>
                <w:bCs w:val="1"/>
                <w:color w:val="auto"/>
                <w:w w:val="95"/>
              </w:rPr>
              <w:t>of</w:t>
            </w:r>
          </w:p>
        </w:tc>
        <w:tc>
          <w:tcPr>
            <w:tcW w:w="1920" w:type="dxa"/>
            <w:vAlign w:val="bottom"/>
            <w:tcBorders>
              <w:bottom w:val="single" w:sz="8" w:color="auto"/>
            </w:tcBorders>
            <w:gridSpan w:val="3"/>
            <w:vMerge w:val="continue"/>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vMerge w:val="restart"/>
          </w:tcPr>
          <w:p>
            <w:pPr>
              <w:jc w:val="right"/>
              <w:ind w:right="36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81"/>
        </w:trPr>
        <w:tc>
          <w:tcPr>
            <w:tcW w:w="1640" w:type="dxa"/>
            <w:vAlign w:val="bottom"/>
          </w:tcPr>
          <w:p>
            <w:pPr>
              <w:spacing w:after="0"/>
              <w:rPr>
                <w:sz w:val="7"/>
                <w:szCs w:val="7"/>
                <w:color w:val="auto"/>
              </w:rPr>
            </w:pPr>
          </w:p>
        </w:tc>
        <w:tc>
          <w:tcPr>
            <w:tcW w:w="920" w:type="dxa"/>
            <w:vAlign w:val="bottom"/>
            <w:vMerge w:val="restart"/>
          </w:tcPr>
          <w:p>
            <w:pPr>
              <w:jc w:val="right"/>
              <w:ind w:right="206"/>
              <w:spacing w:after="0"/>
              <w:rPr>
                <w:sz w:val="20"/>
                <w:szCs w:val="20"/>
                <w:color w:val="auto"/>
              </w:rPr>
            </w:pPr>
            <w:r>
              <w:rPr>
                <w:rFonts w:ascii="Arial" w:cs="Arial" w:eastAsia="Arial" w:hAnsi="Arial"/>
                <w:sz w:val="11"/>
                <w:szCs w:val="11"/>
                <w:b w:val="1"/>
                <w:bCs w:val="1"/>
                <w:color w:val="auto"/>
              </w:rPr>
              <w:t>Shares</w:t>
            </w:r>
          </w:p>
        </w:tc>
        <w:tc>
          <w:tcPr>
            <w:tcW w:w="260" w:type="dxa"/>
            <w:vAlign w:val="bottom"/>
          </w:tcPr>
          <w:p>
            <w:pPr>
              <w:spacing w:after="0"/>
              <w:rPr>
                <w:sz w:val="7"/>
                <w:szCs w:val="7"/>
                <w:color w:val="auto"/>
              </w:rPr>
            </w:pPr>
          </w:p>
        </w:tc>
        <w:tc>
          <w:tcPr>
            <w:tcW w:w="720" w:type="dxa"/>
            <w:vAlign w:val="bottom"/>
            <w:vMerge w:val="restart"/>
          </w:tcPr>
          <w:p>
            <w:pPr>
              <w:jc w:val="right"/>
              <w:ind w:right="226"/>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7"/>
                <w:szCs w:val="7"/>
                <w:color w:val="auto"/>
              </w:rPr>
            </w:pPr>
          </w:p>
        </w:tc>
        <w:tc>
          <w:tcPr>
            <w:tcW w:w="920" w:type="dxa"/>
            <w:vAlign w:val="bottom"/>
          </w:tcPr>
          <w:p>
            <w:pPr>
              <w:jc w:val="right"/>
              <w:ind w:right="47"/>
              <w:spacing w:after="0" w:line="82" w:lineRule="exact"/>
              <w:rPr>
                <w:sz w:val="20"/>
                <w:szCs w:val="20"/>
                <w:color w:val="auto"/>
              </w:rPr>
            </w:pPr>
            <w:r>
              <w:rPr>
                <w:rFonts w:ascii="Arial" w:cs="Arial" w:eastAsia="Arial" w:hAnsi="Arial"/>
                <w:sz w:val="9"/>
                <w:szCs w:val="9"/>
                <w:b w:val="1"/>
                <w:bCs w:val="1"/>
                <w:color w:val="auto"/>
              </w:rPr>
              <w:t>Additional paid-</w:t>
            </w:r>
          </w:p>
        </w:tc>
        <w:tc>
          <w:tcPr>
            <w:tcW w:w="1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1160" w:type="dxa"/>
            <w:vAlign w:val="bottom"/>
            <w:gridSpan w:val="2"/>
          </w:tcPr>
          <w:p>
            <w:pPr>
              <w:jc w:val="center"/>
              <w:spacing w:after="0" w:line="82" w:lineRule="exact"/>
              <w:rPr>
                <w:sz w:val="20"/>
                <w:szCs w:val="20"/>
                <w:color w:val="auto"/>
              </w:rPr>
            </w:pPr>
            <w:r>
              <w:rPr>
                <w:rFonts w:ascii="Arial" w:cs="Arial" w:eastAsia="Arial" w:hAnsi="Arial"/>
                <w:sz w:val="9"/>
                <w:szCs w:val="9"/>
                <w:b w:val="1"/>
                <w:bCs w:val="1"/>
                <w:color w:val="auto"/>
              </w:rPr>
              <w:t>other comprehensive</w:t>
            </w:r>
          </w:p>
        </w:tc>
        <w:tc>
          <w:tcPr>
            <w:tcW w:w="920" w:type="dxa"/>
            <w:vAlign w:val="bottom"/>
            <w:vMerge w:val="restart"/>
          </w:tcPr>
          <w:p>
            <w:pPr>
              <w:jc w:val="right"/>
              <w:ind w:right="226"/>
              <w:spacing w:after="0"/>
              <w:rPr>
                <w:sz w:val="20"/>
                <w:szCs w:val="20"/>
                <w:color w:val="auto"/>
              </w:rPr>
            </w:pPr>
            <w:r>
              <w:rPr>
                <w:rFonts w:ascii="Arial" w:cs="Arial" w:eastAsia="Arial" w:hAnsi="Arial"/>
                <w:sz w:val="11"/>
                <w:szCs w:val="11"/>
                <w:b w:val="1"/>
                <w:bCs w:val="1"/>
                <w:color w:val="auto"/>
              </w:rPr>
              <w:t>Shares</w:t>
            </w:r>
          </w:p>
        </w:tc>
        <w:tc>
          <w:tcPr>
            <w:tcW w:w="280" w:type="dxa"/>
            <w:vAlign w:val="bottom"/>
          </w:tcPr>
          <w:p>
            <w:pPr>
              <w:spacing w:after="0"/>
              <w:rPr>
                <w:sz w:val="7"/>
                <w:szCs w:val="7"/>
                <w:color w:val="auto"/>
              </w:rPr>
            </w:pPr>
          </w:p>
        </w:tc>
        <w:tc>
          <w:tcPr>
            <w:tcW w:w="720" w:type="dxa"/>
            <w:vAlign w:val="bottom"/>
            <w:vMerge w:val="restart"/>
          </w:tcPr>
          <w:p>
            <w:pPr>
              <w:jc w:val="right"/>
              <w:ind w:right="226"/>
              <w:spacing w:after="0"/>
              <w:rPr>
                <w:sz w:val="20"/>
                <w:szCs w:val="20"/>
                <w:color w:val="auto"/>
              </w:rPr>
            </w:pPr>
            <w:r>
              <w:rPr>
                <w:rFonts w:ascii="Arial" w:cs="Arial" w:eastAsia="Arial" w:hAnsi="Arial"/>
                <w:sz w:val="11"/>
                <w:szCs w:val="11"/>
                <w:b w:val="1"/>
                <w:bCs w:val="1"/>
                <w:color w:val="auto"/>
              </w:rPr>
              <w:t>Amount</w:t>
            </w:r>
          </w:p>
        </w:tc>
        <w:tc>
          <w:tcPr>
            <w:tcW w:w="5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16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27"/>
              <w:spacing w:after="0"/>
              <w:rPr>
                <w:sz w:val="20"/>
                <w:szCs w:val="20"/>
                <w:color w:val="auto"/>
              </w:rPr>
            </w:pPr>
            <w:r>
              <w:rPr>
                <w:rFonts w:ascii="Arial" w:cs="Arial" w:eastAsia="Arial" w:hAnsi="Arial"/>
                <w:sz w:val="11"/>
                <w:szCs w:val="11"/>
                <w:b w:val="1"/>
                <w:bCs w:val="1"/>
                <w:color w:val="auto"/>
              </w:rPr>
              <w:t>in capital</w:t>
            </w: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b w:val="1"/>
                <w:bCs w:val="1"/>
                <w:color w:val="auto"/>
              </w:rPr>
              <w:t>earnings</w:t>
            </w: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w w:val="98"/>
              </w:rPr>
              <w:t>income</w:t>
            </w:r>
          </w:p>
        </w:tc>
        <w:tc>
          <w:tcPr>
            <w:tcW w:w="920" w:type="dxa"/>
            <w:vAlign w:val="bottom"/>
            <w:tcBorders>
              <w:bottom w:val="single" w:sz="8" w:color="auto"/>
            </w:tcBorders>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2340" w:type="dxa"/>
            <w:vAlign w:val="bottom"/>
            <w:tcBorders>
              <w:bottom w:val="single" w:sz="8" w:color="auto"/>
            </w:tcBorders>
            <w:gridSpan w:val="4"/>
          </w:tcPr>
          <w:p>
            <w:pPr>
              <w:ind w:left="20"/>
              <w:spacing w:after="0"/>
              <w:rPr>
                <w:sz w:val="20"/>
                <w:szCs w:val="20"/>
                <w:color w:val="auto"/>
              </w:rPr>
            </w:pPr>
            <w:r>
              <w:rPr>
                <w:rFonts w:ascii="Arial" w:cs="Arial" w:eastAsia="Arial" w:hAnsi="Arial"/>
                <w:sz w:val="11"/>
                <w:szCs w:val="11"/>
                <w:b w:val="1"/>
                <w:bCs w:val="1"/>
                <w:color w:val="auto"/>
                <w:w w:val="98"/>
              </w:rPr>
              <w:t>Noncontrolling Interest Shareholders' Equity</w:t>
            </w:r>
          </w:p>
        </w:tc>
        <w:tc>
          <w:tcPr>
            <w:tcW w:w="0" w:type="dxa"/>
            <w:vAlign w:val="bottom"/>
          </w:tcPr>
          <w:p>
            <w:pPr>
              <w:spacing w:after="0"/>
              <w:rPr>
                <w:sz w:val="1"/>
                <w:szCs w:val="1"/>
                <w:color w:val="auto"/>
              </w:rPr>
            </w:pPr>
          </w:p>
        </w:tc>
      </w:tr>
      <w:tr>
        <w:trPr>
          <w:trHeight w:val="156"/>
        </w:trPr>
        <w:tc>
          <w:tcPr>
            <w:tcW w:w="1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December 31, 2025</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40,989</w:t>
            </w:r>
          </w:p>
        </w:tc>
        <w:tc>
          <w:tcPr>
            <w:tcW w:w="2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41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460,472</w:t>
            </w:r>
          </w:p>
        </w:tc>
        <w:tc>
          <w:tcPr>
            <w:tcW w:w="1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976,373</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(143,538)</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12,686</w:t>
            </w:r>
          </w:p>
        </w:tc>
        <w:tc>
          <w:tcPr>
            <w:tcW w:w="28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(567,139)</w:t>
            </w: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5,893</w:t>
            </w:r>
          </w:p>
        </w:tc>
        <w:tc>
          <w:tcPr>
            <w:tcW w:w="26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732,102</w:t>
            </w:r>
          </w:p>
        </w:tc>
        <w:tc>
          <w:tcPr>
            <w:tcW w:w="0" w:type="dxa"/>
            <w:vAlign w:val="bottom"/>
          </w:tcPr>
          <w:p>
            <w:pPr>
              <w:spacing w:after="0"/>
              <w:rPr>
                <w:sz w:val="1"/>
                <w:szCs w:val="1"/>
                <w:color w:val="auto"/>
              </w:rPr>
            </w:pPr>
          </w:p>
        </w:tc>
      </w:tr>
      <w:tr>
        <w:trPr>
          <w:trHeight w:val="142"/>
        </w:trPr>
        <w:tc>
          <w:tcPr>
            <w:tcW w:w="164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2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74,392</w:t>
            </w:r>
          </w:p>
        </w:tc>
        <w:tc>
          <w:tcPr>
            <w:tcW w:w="80" w:type="dxa"/>
            <w:vAlign w:val="bottom"/>
          </w:tcPr>
          <w:p>
            <w:pPr>
              <w:spacing w:after="0"/>
              <w:rPr>
                <w:sz w:val="12"/>
                <w:szCs w:val="12"/>
                <w:color w:val="auto"/>
              </w:rPr>
            </w:pP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647</w:t>
            </w: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75,039</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64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Stock issued under incentive</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67</w:t>
            </w:r>
          </w:p>
        </w:tc>
        <w:tc>
          <w:tcPr>
            <w:tcW w:w="26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2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10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2"/>
        </w:trPr>
        <w:tc>
          <w:tcPr>
            <w:tcW w:w="1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compensation plans</w:t>
            </w:r>
          </w:p>
        </w:tc>
        <w:tc>
          <w:tcPr>
            <w:tcW w:w="92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vMerge w:val="continue"/>
            <w:shd w:val="clear" w:color="auto" w:fill="CCEEFF"/>
          </w:tcPr>
          <w:p>
            <w:pPr>
              <w:spacing w:after="0"/>
              <w:rPr>
                <w:sz w:val="12"/>
                <w:szCs w:val="12"/>
                <w:color w:val="auto"/>
              </w:rPr>
            </w:pPr>
          </w:p>
        </w:tc>
        <w:tc>
          <w:tcPr>
            <w:tcW w:w="920" w:type="dxa"/>
            <w:vAlign w:val="bottom"/>
            <w:tcBorders>
              <w:bottom w:val="single" w:sz="8" w:color="CCEEFF"/>
            </w:tcBorders>
            <w:vMerge w:val="continue"/>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640" w:type="dxa"/>
            <w:vAlign w:val="bottom"/>
          </w:tcPr>
          <w:p>
            <w:pPr>
              <w:ind w:left="20"/>
              <w:spacing w:after="0" w:line="109" w:lineRule="exact"/>
              <w:rPr>
                <w:sz w:val="20"/>
                <w:szCs w:val="20"/>
                <w:color w:val="auto"/>
              </w:rPr>
            </w:pPr>
            <w:r>
              <w:rPr>
                <w:rFonts w:ascii="Arial" w:cs="Arial" w:eastAsia="Arial" w:hAnsi="Arial"/>
                <w:sz w:val="11"/>
                <w:szCs w:val="11"/>
                <w:color w:val="auto"/>
              </w:rPr>
              <w:t>Taxes paid in lieu of share</w:t>
            </w: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(1,644)</w:t>
            </w:r>
          </w:p>
        </w:tc>
        <w:tc>
          <w:tcPr>
            <w:tcW w:w="160" w:type="dxa"/>
            <w:vAlign w:val="bottom"/>
          </w:tcPr>
          <w:p>
            <w:pPr>
              <w:spacing w:after="0"/>
              <w:rPr>
                <w:sz w:val="9"/>
                <w:szCs w:val="9"/>
                <w:color w:val="auto"/>
              </w:rPr>
            </w:pPr>
          </w:p>
        </w:tc>
        <w:tc>
          <w:tcPr>
            <w:tcW w:w="8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10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1"/>
                <w:szCs w:val="11"/>
                <w:color w:val="auto"/>
              </w:rPr>
              <w:t>(1,644)</w:t>
            </w:r>
          </w:p>
        </w:tc>
        <w:tc>
          <w:tcPr>
            <w:tcW w:w="0" w:type="dxa"/>
            <w:vAlign w:val="bottom"/>
          </w:tcPr>
          <w:p>
            <w:pPr>
              <w:spacing w:after="0"/>
              <w:rPr>
                <w:sz w:val="1"/>
                <w:szCs w:val="1"/>
                <w:color w:val="auto"/>
              </w:rPr>
            </w:pPr>
          </w:p>
        </w:tc>
      </w:tr>
      <w:tr>
        <w:trPr>
          <w:trHeight w:val="142"/>
        </w:trPr>
        <w:tc>
          <w:tcPr>
            <w:tcW w:w="1640" w:type="dxa"/>
            <w:vAlign w:val="bottom"/>
          </w:tcPr>
          <w:p>
            <w:pPr>
              <w:ind w:left="20"/>
              <w:spacing w:after="0"/>
              <w:rPr>
                <w:sz w:val="20"/>
                <w:szCs w:val="20"/>
                <w:color w:val="auto"/>
              </w:rPr>
            </w:pPr>
            <w:r>
              <w:rPr>
                <w:rFonts w:ascii="Arial" w:cs="Arial" w:eastAsia="Arial" w:hAnsi="Arial"/>
                <w:sz w:val="11"/>
                <w:szCs w:val="11"/>
                <w:color w:val="auto"/>
              </w:rPr>
              <w:t>issuance</w:t>
            </w: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Stock-based compensation</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6,868</w:t>
            </w:r>
          </w:p>
        </w:tc>
        <w:tc>
          <w:tcPr>
            <w:tcW w:w="16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6,868</w:t>
            </w:r>
          </w:p>
        </w:tc>
        <w:tc>
          <w:tcPr>
            <w:tcW w:w="0" w:type="dxa"/>
            <w:vAlign w:val="bottom"/>
          </w:tcPr>
          <w:p>
            <w:pPr>
              <w:spacing w:after="0"/>
              <w:rPr>
                <w:sz w:val="1"/>
                <w:szCs w:val="1"/>
                <w:color w:val="auto"/>
              </w:rPr>
            </w:pPr>
          </w:p>
        </w:tc>
      </w:tr>
      <w:tr>
        <w:trPr>
          <w:trHeight w:val="142"/>
        </w:trPr>
        <w:tc>
          <w:tcPr>
            <w:tcW w:w="1640" w:type="dxa"/>
            <w:vAlign w:val="bottom"/>
          </w:tcPr>
          <w:p>
            <w:pPr>
              <w:ind w:left="20"/>
              <w:spacing w:after="0"/>
              <w:rPr>
                <w:sz w:val="20"/>
                <w:szCs w:val="20"/>
                <w:color w:val="auto"/>
              </w:rPr>
            </w:pPr>
            <w:r>
              <w:rPr>
                <w:rFonts w:ascii="Arial" w:cs="Arial" w:eastAsia="Arial" w:hAnsi="Arial"/>
                <w:sz w:val="11"/>
                <w:szCs w:val="11"/>
                <w:color w:val="auto"/>
              </w:rPr>
              <w:t>Shares issued to Directors</w:t>
            </w:r>
          </w:p>
        </w:tc>
        <w:tc>
          <w:tcPr>
            <w:tcW w:w="920" w:type="dxa"/>
            <w:vAlign w:val="bottom"/>
          </w:tcPr>
          <w:p>
            <w:pPr>
              <w:jc w:val="right"/>
              <w:spacing w:after="0"/>
              <w:rPr>
                <w:sz w:val="20"/>
                <w:szCs w:val="20"/>
                <w:color w:val="auto"/>
              </w:rPr>
            </w:pPr>
            <w:r>
              <w:rPr>
                <w:rFonts w:ascii="Arial" w:cs="Arial" w:eastAsia="Arial" w:hAnsi="Arial"/>
                <w:sz w:val="11"/>
                <w:szCs w:val="11"/>
                <w:color w:val="auto"/>
              </w:rPr>
              <w:t>15</w:t>
            </w:r>
          </w:p>
        </w:tc>
        <w:tc>
          <w:tcPr>
            <w:tcW w:w="26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20" w:type="dxa"/>
            <w:vAlign w:val="bottom"/>
          </w:tcPr>
          <w:p>
            <w:pPr>
              <w:jc w:val="right"/>
              <w:ind w:right="7"/>
              <w:spacing w:after="0"/>
              <w:rPr>
                <w:sz w:val="20"/>
                <w:szCs w:val="20"/>
                <w:color w:val="auto"/>
              </w:rPr>
            </w:pPr>
            <w:r>
              <w:rPr>
                <w:rFonts w:ascii="Arial" w:cs="Arial" w:eastAsia="Arial" w:hAnsi="Arial"/>
                <w:sz w:val="11"/>
                <w:szCs w:val="11"/>
                <w:color w:val="auto"/>
              </w:rPr>
              <w:t>882</w:t>
            </w:r>
          </w:p>
        </w:tc>
        <w:tc>
          <w:tcPr>
            <w:tcW w:w="160" w:type="dxa"/>
            <w:vAlign w:val="bottom"/>
          </w:tcPr>
          <w:p>
            <w:pPr>
              <w:spacing w:after="0"/>
              <w:rPr>
                <w:sz w:val="12"/>
                <w:szCs w:val="12"/>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882</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64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Share repurchase excise tax</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2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10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146</w:t>
            </w:r>
          </w:p>
        </w:tc>
        <w:tc>
          <w:tcPr>
            <w:tcW w:w="50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146</w:t>
            </w:r>
          </w:p>
        </w:tc>
        <w:tc>
          <w:tcPr>
            <w:tcW w:w="0" w:type="dxa"/>
            <w:vAlign w:val="bottom"/>
          </w:tcPr>
          <w:p>
            <w:pPr>
              <w:spacing w:after="0"/>
              <w:rPr>
                <w:sz w:val="1"/>
                <w:szCs w:val="1"/>
                <w:color w:val="auto"/>
              </w:rPr>
            </w:pPr>
          </w:p>
        </w:tc>
      </w:tr>
      <w:tr>
        <w:trPr>
          <w:trHeight w:val="142"/>
        </w:trPr>
        <w:tc>
          <w:tcPr>
            <w:tcW w:w="1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adjustment</w:t>
            </w:r>
          </w:p>
        </w:tc>
        <w:tc>
          <w:tcPr>
            <w:tcW w:w="92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vMerge w:val="continue"/>
            <w:shd w:val="clear" w:color="auto" w:fill="CCEEFF"/>
          </w:tcPr>
          <w:p>
            <w:pPr>
              <w:spacing w:after="0"/>
              <w:rPr>
                <w:sz w:val="12"/>
                <w:szCs w:val="12"/>
                <w:color w:val="auto"/>
              </w:rPr>
            </w:pPr>
          </w:p>
        </w:tc>
        <w:tc>
          <w:tcPr>
            <w:tcW w:w="920" w:type="dxa"/>
            <w:vAlign w:val="bottom"/>
            <w:tcBorders>
              <w:bottom w:val="single" w:sz="8" w:color="CCEEFF"/>
            </w:tcBorders>
            <w:vMerge w:val="continue"/>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640" w:type="dxa"/>
            <w:vAlign w:val="bottom"/>
          </w:tcPr>
          <w:p>
            <w:pPr>
              <w:ind w:left="20"/>
              <w:spacing w:after="0" w:line="109" w:lineRule="exact"/>
              <w:rPr>
                <w:sz w:val="20"/>
                <w:szCs w:val="20"/>
                <w:color w:val="auto"/>
              </w:rPr>
            </w:pPr>
            <w:r>
              <w:rPr>
                <w:rFonts w:ascii="Arial" w:cs="Arial" w:eastAsia="Arial" w:hAnsi="Arial"/>
                <w:sz w:val="11"/>
                <w:szCs w:val="11"/>
                <w:color w:val="auto"/>
              </w:rPr>
              <w:t>Dividends declared on Class A</w:t>
            </w: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20" w:type="dxa"/>
            <w:vAlign w:val="bottom"/>
            <w:vMerge w:val="restart"/>
          </w:tcPr>
          <w:p>
            <w:pPr>
              <w:jc w:val="right"/>
              <w:ind w:right="7"/>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(23,831)</w:t>
            </w:r>
          </w:p>
        </w:tc>
        <w:tc>
          <w:tcPr>
            <w:tcW w:w="80" w:type="dxa"/>
            <w:vAlign w:val="bottom"/>
          </w:tcPr>
          <w:p>
            <w:pPr>
              <w:spacing w:after="0"/>
              <w:rPr>
                <w:sz w:val="9"/>
                <w:szCs w:val="9"/>
                <w:color w:val="auto"/>
              </w:rPr>
            </w:pPr>
          </w:p>
        </w:tc>
        <w:tc>
          <w:tcPr>
            <w:tcW w:w="10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1"/>
                <w:szCs w:val="11"/>
                <w:color w:val="auto"/>
              </w:rPr>
              <w:t>(23,831)</w:t>
            </w:r>
          </w:p>
        </w:tc>
        <w:tc>
          <w:tcPr>
            <w:tcW w:w="0" w:type="dxa"/>
            <w:vAlign w:val="bottom"/>
          </w:tcPr>
          <w:p>
            <w:pPr>
              <w:spacing w:after="0"/>
              <w:rPr>
                <w:sz w:val="1"/>
                <w:szCs w:val="1"/>
                <w:color w:val="auto"/>
              </w:rPr>
            </w:pPr>
          </w:p>
        </w:tc>
      </w:tr>
      <w:tr>
        <w:trPr>
          <w:trHeight w:val="142"/>
        </w:trPr>
        <w:tc>
          <w:tcPr>
            <w:tcW w:w="1640" w:type="dxa"/>
            <w:vAlign w:val="bottom"/>
          </w:tcPr>
          <w:p>
            <w:pPr>
              <w:ind w:left="20"/>
              <w:spacing w:after="0"/>
              <w:rPr>
                <w:sz w:val="20"/>
                <w:szCs w:val="20"/>
                <w:color w:val="auto"/>
              </w:rPr>
            </w:pPr>
            <w:r>
              <w:rPr>
                <w:rFonts w:ascii="Arial" w:cs="Arial" w:eastAsia="Arial" w:hAnsi="Arial"/>
                <w:sz w:val="11"/>
                <w:szCs w:val="11"/>
                <w:color w:val="auto"/>
              </w:rPr>
              <w:t>Common Stock, $0.84 per share</w:t>
            </w: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64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Cumulative translation</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2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(6,365)</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(91)</w:t>
            </w:r>
          </w:p>
        </w:tc>
        <w:tc>
          <w:tcPr>
            <w:tcW w:w="26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(6,456)</w:t>
            </w:r>
          </w:p>
        </w:tc>
        <w:tc>
          <w:tcPr>
            <w:tcW w:w="0" w:type="dxa"/>
            <w:vAlign w:val="bottom"/>
          </w:tcPr>
          <w:p>
            <w:pPr>
              <w:spacing w:after="0"/>
              <w:rPr>
                <w:sz w:val="1"/>
                <w:szCs w:val="1"/>
                <w:color w:val="auto"/>
              </w:rPr>
            </w:pPr>
          </w:p>
        </w:tc>
      </w:tr>
      <w:tr>
        <w:trPr>
          <w:trHeight w:val="142"/>
        </w:trPr>
        <w:tc>
          <w:tcPr>
            <w:tcW w:w="1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adjustments</w:t>
            </w:r>
          </w:p>
        </w:tc>
        <w:tc>
          <w:tcPr>
            <w:tcW w:w="92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vMerge w:val="continue"/>
            <w:shd w:val="clear" w:color="auto" w:fill="CCEEFF"/>
          </w:tcPr>
          <w:p>
            <w:pPr>
              <w:spacing w:after="0"/>
              <w:rPr>
                <w:sz w:val="12"/>
                <w:szCs w:val="12"/>
                <w:color w:val="auto"/>
              </w:rPr>
            </w:pPr>
          </w:p>
        </w:tc>
        <w:tc>
          <w:tcPr>
            <w:tcW w:w="920" w:type="dxa"/>
            <w:vAlign w:val="bottom"/>
            <w:tcBorders>
              <w:bottom w:val="single" w:sz="8" w:color="CCEEFF"/>
            </w:tcBorders>
            <w:vMerge w:val="continue"/>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640" w:type="dxa"/>
            <w:vAlign w:val="bottom"/>
          </w:tcPr>
          <w:p>
            <w:pPr>
              <w:ind w:left="20"/>
              <w:spacing w:after="0" w:line="109" w:lineRule="exact"/>
              <w:rPr>
                <w:sz w:val="20"/>
                <w:szCs w:val="20"/>
                <w:color w:val="auto"/>
              </w:rPr>
            </w:pPr>
            <w:r>
              <w:rPr>
                <w:rFonts w:ascii="Arial" w:cs="Arial" w:eastAsia="Arial" w:hAnsi="Arial"/>
                <w:sz w:val="11"/>
                <w:szCs w:val="11"/>
                <w:color w:val="auto"/>
              </w:rPr>
              <w:t>Pension and postretirement</w:t>
            </w: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20" w:type="dxa"/>
            <w:vAlign w:val="bottom"/>
            <w:vMerge w:val="restart"/>
          </w:tcPr>
          <w:p>
            <w:pPr>
              <w:jc w:val="right"/>
              <w:ind w:right="7"/>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8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1080" w:type="dxa"/>
            <w:vAlign w:val="bottom"/>
            <w:vMerge w:val="restart"/>
          </w:tcPr>
          <w:p>
            <w:pPr>
              <w:jc w:val="right"/>
              <w:ind w:right="6"/>
              <w:spacing w:after="0"/>
              <w:rPr>
                <w:sz w:val="20"/>
                <w:szCs w:val="20"/>
                <w:color w:val="auto"/>
              </w:rPr>
            </w:pPr>
            <w:r>
              <w:rPr>
                <w:rFonts w:ascii="Arial" w:cs="Arial" w:eastAsia="Arial" w:hAnsi="Arial"/>
                <w:sz w:val="11"/>
                <w:szCs w:val="11"/>
                <w:color w:val="auto"/>
              </w:rPr>
              <w:t>1,073</w:t>
            </w: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1"/>
                <w:szCs w:val="11"/>
                <w:color w:val="auto"/>
              </w:rPr>
              <w:t>1,073</w:t>
            </w:r>
          </w:p>
        </w:tc>
        <w:tc>
          <w:tcPr>
            <w:tcW w:w="0" w:type="dxa"/>
            <w:vAlign w:val="bottom"/>
          </w:tcPr>
          <w:p>
            <w:pPr>
              <w:spacing w:after="0"/>
              <w:rPr>
                <w:sz w:val="1"/>
                <w:szCs w:val="1"/>
                <w:color w:val="auto"/>
              </w:rPr>
            </w:pPr>
          </w:p>
        </w:tc>
      </w:tr>
      <w:tr>
        <w:trPr>
          <w:trHeight w:val="142"/>
        </w:trPr>
        <w:tc>
          <w:tcPr>
            <w:tcW w:w="1640" w:type="dxa"/>
            <w:vAlign w:val="bottom"/>
          </w:tcPr>
          <w:p>
            <w:pPr>
              <w:ind w:left="20"/>
              <w:spacing w:after="0"/>
              <w:rPr>
                <w:sz w:val="20"/>
                <w:szCs w:val="20"/>
                <w:color w:val="auto"/>
              </w:rPr>
            </w:pPr>
            <w:r>
              <w:rPr>
                <w:rFonts w:ascii="Arial" w:cs="Arial" w:eastAsia="Arial" w:hAnsi="Arial"/>
                <w:sz w:val="11"/>
                <w:szCs w:val="11"/>
                <w:color w:val="auto"/>
              </w:rPr>
              <w:t>liability adjustments</w:t>
            </w: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64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Derivative valuation adjustment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2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(71)</w:t>
            </w:r>
          </w:p>
        </w:tc>
        <w:tc>
          <w:tcPr>
            <w:tcW w:w="80" w:type="dxa"/>
            <w:vAlign w:val="bottom"/>
            <w:shd w:val="clear" w:color="auto" w:fill="CCEEFF"/>
          </w:tcPr>
          <w:p>
            <w:pPr>
              <w:spacing w:after="0"/>
              <w:rPr>
                <w:sz w:val="9"/>
                <w:szCs w:val="9"/>
                <w:color w:val="auto"/>
              </w:rPr>
            </w:pPr>
          </w:p>
        </w:tc>
        <w:tc>
          <w:tcPr>
            <w:tcW w:w="10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4,006</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3,935</w:t>
            </w:r>
          </w:p>
        </w:tc>
        <w:tc>
          <w:tcPr>
            <w:tcW w:w="0" w:type="dxa"/>
            <w:vAlign w:val="bottom"/>
          </w:tcPr>
          <w:p>
            <w:pPr>
              <w:spacing w:after="0"/>
              <w:rPr>
                <w:sz w:val="1"/>
                <w:szCs w:val="1"/>
                <w:color w:val="auto"/>
              </w:rPr>
            </w:pPr>
          </w:p>
        </w:tc>
      </w:tr>
      <w:tr>
        <w:trPr>
          <w:trHeight w:val="155"/>
        </w:trPr>
        <w:tc>
          <w:tcPr>
            <w:tcW w:w="1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and other</w:t>
            </w:r>
          </w:p>
        </w:tc>
        <w:tc>
          <w:tcPr>
            <w:tcW w:w="920" w:type="dxa"/>
            <w:vAlign w:val="bottom"/>
            <w:tcBorders>
              <w:bottom w:val="single" w:sz="8" w:color="auto"/>
            </w:tcBorders>
            <w:vMerge w:val="continue"/>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vMerge w:val="continue"/>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vMerge w:val="continue"/>
            <w:shd w:val="clear" w:color="auto" w:fill="CCEEFF"/>
          </w:tcPr>
          <w:p>
            <w:pPr>
              <w:spacing w:after="0"/>
              <w:rPr>
                <w:sz w:val="13"/>
                <w:szCs w:val="13"/>
                <w:color w:val="auto"/>
              </w:rPr>
            </w:pPr>
          </w:p>
        </w:tc>
        <w:tc>
          <w:tcPr>
            <w:tcW w:w="920" w:type="dxa"/>
            <w:vAlign w:val="bottom"/>
            <w:tcBorders>
              <w:bottom w:val="single" w:sz="8" w:color="auto"/>
            </w:tcBorders>
            <w:vMerge w:val="continue"/>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vMerge w:val="continue"/>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vMerge w:val="continue"/>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September 30, 2026</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41,071</w:t>
            </w:r>
          </w:p>
        </w:tc>
        <w:tc>
          <w:tcPr>
            <w:tcW w:w="2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466,578</w:t>
            </w:r>
          </w:p>
        </w:tc>
        <w:tc>
          <w:tcPr>
            <w:tcW w:w="1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1,026,863</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(144,824)</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12,686</w:t>
            </w:r>
          </w:p>
        </w:tc>
        <w:tc>
          <w:tcPr>
            <w:tcW w:w="28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(566,993)</w:t>
            </w: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6,449</w:t>
            </w:r>
          </w:p>
        </w:tc>
        <w:tc>
          <w:tcPr>
            <w:tcW w:w="2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788,114</w:t>
            </w:r>
          </w:p>
        </w:tc>
        <w:tc>
          <w:tcPr>
            <w:tcW w:w="0" w:type="dxa"/>
            <w:vAlign w:val="bottom"/>
          </w:tcPr>
          <w:p>
            <w:pPr>
              <w:spacing w:after="0"/>
              <w:rPr>
                <w:sz w:val="1"/>
                <w:szCs w:val="1"/>
                <w:color w:val="auto"/>
              </w:rPr>
            </w:pPr>
          </w:p>
        </w:tc>
      </w:tr>
    </w:tbl>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69608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following tables summarize changes in Shareholders’ Equity for the three month and nine month periods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69608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580" w:type="dxa"/>
            <w:vAlign w:val="bottom"/>
          </w:tcPr>
          <w:p>
            <w:pPr>
              <w:spacing w:after="0"/>
              <w:rPr>
                <w:sz w:val="10"/>
                <w:szCs w:val="10"/>
                <w:color w:val="auto"/>
              </w:rPr>
            </w:pPr>
          </w:p>
        </w:tc>
        <w:tc>
          <w:tcPr>
            <w:tcW w:w="1620" w:type="dxa"/>
            <w:vAlign w:val="bottom"/>
            <w:gridSpan w:val="2"/>
          </w:tcPr>
          <w:p>
            <w:pPr>
              <w:jc w:val="center"/>
              <w:ind w:left="166"/>
              <w:spacing w:after="0"/>
              <w:rPr>
                <w:sz w:val="20"/>
                <w:szCs w:val="20"/>
                <w:color w:val="auto"/>
              </w:rPr>
            </w:pPr>
            <w:r>
              <w:rPr>
                <w:rFonts w:ascii="Arial" w:cs="Arial" w:eastAsia="Arial" w:hAnsi="Arial"/>
                <w:sz w:val="11"/>
                <w:szCs w:val="11"/>
                <w:b w:val="1"/>
                <w:bCs w:val="1"/>
                <w:color w:val="auto"/>
                <w:w w:val="99"/>
              </w:rPr>
              <w:t>Class A</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160" w:type="dxa"/>
            <w:vAlign w:val="bottom"/>
            <w:gridSpan w:val="2"/>
          </w:tcPr>
          <w:p>
            <w:pPr>
              <w:jc w:val="right"/>
              <w:spacing w:after="0"/>
              <w:rPr>
                <w:sz w:val="20"/>
                <w:szCs w:val="20"/>
                <w:color w:val="auto"/>
              </w:rPr>
            </w:pPr>
            <w:r>
              <w:rPr>
                <w:rFonts w:ascii="Arial" w:cs="Arial" w:eastAsia="Arial" w:hAnsi="Arial"/>
                <w:sz w:val="11"/>
                <w:szCs w:val="11"/>
                <w:b w:val="1"/>
                <w:bCs w:val="1"/>
                <w:color w:val="auto"/>
              </w:rPr>
              <w:t>Class A</w:t>
            </w: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vMerge w:val="restart"/>
          </w:tcPr>
          <w:p>
            <w:pPr>
              <w:jc w:val="center"/>
              <w:ind w:right="86"/>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68"/>
        </w:trPr>
        <w:tc>
          <w:tcPr>
            <w:tcW w:w="1580" w:type="dxa"/>
            <w:vAlign w:val="bottom"/>
          </w:tcPr>
          <w:p>
            <w:pPr>
              <w:spacing w:after="0"/>
              <w:rPr>
                <w:sz w:val="5"/>
                <w:szCs w:val="5"/>
                <w:color w:val="auto"/>
              </w:rPr>
            </w:pPr>
          </w:p>
        </w:tc>
        <w:tc>
          <w:tcPr>
            <w:tcW w:w="1620" w:type="dxa"/>
            <w:vAlign w:val="bottom"/>
            <w:gridSpan w:val="2"/>
            <w:vMerge w:val="restart"/>
          </w:tcPr>
          <w:p>
            <w:pPr>
              <w:jc w:val="center"/>
              <w:ind w:left="166"/>
              <w:spacing w:after="0"/>
              <w:rPr>
                <w:sz w:val="20"/>
                <w:szCs w:val="20"/>
                <w:color w:val="auto"/>
              </w:rPr>
            </w:pPr>
            <w:r>
              <w:rPr>
                <w:rFonts w:ascii="Arial" w:cs="Arial" w:eastAsia="Arial" w:hAnsi="Arial"/>
                <w:sz w:val="11"/>
                <w:szCs w:val="11"/>
                <w:b w:val="1"/>
                <w:bCs w:val="1"/>
                <w:color w:val="auto"/>
                <w:w w:val="99"/>
              </w:rPr>
              <w:t>Common Stock</w:t>
            </w: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860" w:type="dxa"/>
            <w:vAlign w:val="bottom"/>
            <w:gridSpan w:val="3"/>
            <w:vMerge w:val="restart"/>
          </w:tcPr>
          <w:p>
            <w:pPr>
              <w:jc w:val="right"/>
              <w:ind w:right="486"/>
              <w:spacing w:after="0"/>
              <w:rPr>
                <w:sz w:val="20"/>
                <w:szCs w:val="20"/>
                <w:color w:val="auto"/>
              </w:rPr>
            </w:pPr>
            <w:r>
              <w:rPr>
                <w:rFonts w:ascii="Arial" w:cs="Arial" w:eastAsia="Arial" w:hAnsi="Arial"/>
                <w:sz w:val="11"/>
                <w:szCs w:val="11"/>
                <w:b w:val="1"/>
                <w:bCs w:val="1"/>
                <w:color w:val="auto"/>
              </w:rPr>
              <w:t>Treasury Stock</w:t>
            </w: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6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vMerge w:val="restart"/>
          </w:tcPr>
          <w:p>
            <w:pPr>
              <w:jc w:val="right"/>
              <w:ind w:right="26"/>
              <w:spacing w:after="0" w:line="102" w:lineRule="exact"/>
              <w:rPr>
                <w:sz w:val="20"/>
                <w:szCs w:val="20"/>
                <w:color w:val="auto"/>
              </w:rPr>
            </w:pPr>
            <w:r>
              <w:rPr>
                <w:rFonts w:ascii="Arial" w:cs="Arial" w:eastAsia="Arial" w:hAnsi="Arial"/>
                <w:sz w:val="11"/>
                <w:szCs w:val="11"/>
                <w:b w:val="1"/>
                <w:bCs w:val="1"/>
                <w:color w:val="auto"/>
                <w:w w:val="98"/>
              </w:rPr>
              <w:t>Additional paid-</w:t>
            </w:r>
          </w:p>
        </w:tc>
        <w:tc>
          <w:tcPr>
            <w:tcW w:w="160" w:type="dxa"/>
            <w:vAlign w:val="bottom"/>
          </w:tcPr>
          <w:p>
            <w:pPr>
              <w:spacing w:after="0"/>
              <w:rPr>
                <w:sz w:val="6"/>
                <w:szCs w:val="6"/>
                <w:color w:val="auto"/>
              </w:rPr>
            </w:pPr>
          </w:p>
        </w:tc>
        <w:tc>
          <w:tcPr>
            <w:tcW w:w="780" w:type="dxa"/>
            <w:vAlign w:val="bottom"/>
            <w:vMerge w:val="restart"/>
          </w:tcPr>
          <w:p>
            <w:pPr>
              <w:jc w:val="right"/>
              <w:ind w:right="206"/>
              <w:spacing w:after="0" w:line="102" w:lineRule="exact"/>
              <w:rPr>
                <w:sz w:val="20"/>
                <w:szCs w:val="20"/>
                <w:color w:val="auto"/>
              </w:rPr>
            </w:pPr>
            <w:r>
              <w:rPr>
                <w:rFonts w:ascii="Arial" w:cs="Arial" w:eastAsia="Arial" w:hAnsi="Arial"/>
                <w:sz w:val="11"/>
                <w:szCs w:val="11"/>
                <w:b w:val="1"/>
                <w:bCs w:val="1"/>
                <w:color w:val="auto"/>
              </w:rPr>
              <w:t>Retained</w:t>
            </w:r>
          </w:p>
        </w:tc>
        <w:tc>
          <w:tcPr>
            <w:tcW w:w="160" w:type="dxa"/>
            <w:vAlign w:val="bottom"/>
          </w:tcPr>
          <w:p>
            <w:pPr>
              <w:spacing w:after="0"/>
              <w:rPr>
                <w:sz w:val="6"/>
                <w:szCs w:val="6"/>
                <w:color w:val="auto"/>
              </w:rPr>
            </w:pPr>
          </w:p>
        </w:tc>
        <w:tc>
          <w:tcPr>
            <w:tcW w:w="1380" w:type="dxa"/>
            <w:vAlign w:val="bottom"/>
            <w:vMerge w:val="restart"/>
          </w:tcPr>
          <w:p>
            <w:pPr>
              <w:jc w:val="right"/>
              <w:ind w:right="146"/>
              <w:spacing w:after="0" w:line="102" w:lineRule="exact"/>
              <w:rPr>
                <w:sz w:val="20"/>
                <w:szCs w:val="20"/>
                <w:color w:val="auto"/>
              </w:rPr>
            </w:pPr>
            <w:r>
              <w:rPr>
                <w:rFonts w:ascii="Arial" w:cs="Arial" w:eastAsia="Arial" w:hAnsi="Arial"/>
                <w:sz w:val="11"/>
                <w:szCs w:val="11"/>
                <w:b w:val="1"/>
                <w:bCs w:val="1"/>
                <w:color w:val="auto"/>
              </w:rPr>
              <w:t>Accumulated items of</w:t>
            </w:r>
          </w:p>
        </w:tc>
        <w:tc>
          <w:tcPr>
            <w:tcW w:w="1860" w:type="dxa"/>
            <w:vAlign w:val="bottom"/>
            <w:gridSpan w:val="3"/>
            <w:vMerge w:val="continue"/>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vMerge w:val="restart"/>
          </w:tcPr>
          <w:p>
            <w:pPr>
              <w:jc w:val="center"/>
              <w:ind w:right="46"/>
              <w:spacing w:after="0" w:line="102" w:lineRule="exact"/>
              <w:rPr>
                <w:sz w:val="20"/>
                <w:szCs w:val="20"/>
                <w:color w:val="auto"/>
              </w:rPr>
            </w:pPr>
            <w:r>
              <w:rPr>
                <w:rFonts w:ascii="Arial" w:cs="Arial" w:eastAsia="Arial" w:hAnsi="Arial"/>
                <w:sz w:val="11"/>
                <w:szCs w:val="11"/>
                <w:b w:val="1"/>
                <w:bCs w:val="1"/>
                <w:color w:val="auto"/>
                <w:w w:val="98"/>
              </w:rPr>
              <w:t>Shareholders'</w:t>
            </w:r>
          </w:p>
        </w:tc>
        <w:tc>
          <w:tcPr>
            <w:tcW w:w="0" w:type="dxa"/>
            <w:vAlign w:val="bottom"/>
          </w:tcPr>
          <w:p>
            <w:pPr>
              <w:spacing w:after="0"/>
              <w:rPr>
                <w:sz w:val="1"/>
                <w:szCs w:val="1"/>
                <w:color w:val="auto"/>
              </w:rPr>
            </w:pPr>
          </w:p>
        </w:tc>
      </w:tr>
      <w:tr>
        <w:trPr>
          <w:trHeight w:val="28"/>
        </w:trPr>
        <w:tc>
          <w:tcPr>
            <w:tcW w:w="15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1580" w:type="dxa"/>
            <w:vAlign w:val="bottom"/>
          </w:tcPr>
          <w:p>
            <w:pPr>
              <w:ind w:left="20"/>
              <w:spacing w:after="0"/>
              <w:rPr>
                <w:sz w:val="20"/>
                <w:szCs w:val="20"/>
                <w:color w:val="auto"/>
              </w:rPr>
            </w:pPr>
            <w:r>
              <w:rPr>
                <w:rFonts w:ascii="Arial" w:cs="Arial" w:eastAsia="Arial" w:hAnsi="Arial"/>
                <w:sz w:val="11"/>
                <w:szCs w:val="11"/>
                <w:b w:val="1"/>
                <w:bCs w:val="1"/>
                <w:color w:val="auto"/>
              </w:rPr>
              <w:t>(in thousands)</w:t>
            </w:r>
          </w:p>
        </w:tc>
        <w:tc>
          <w:tcPr>
            <w:tcW w:w="900" w:type="dxa"/>
            <w:vAlign w:val="bottom"/>
          </w:tcPr>
          <w:p>
            <w:pPr>
              <w:jc w:val="right"/>
              <w:ind w:right="206"/>
              <w:spacing w:after="0"/>
              <w:rPr>
                <w:sz w:val="20"/>
                <w:szCs w:val="20"/>
                <w:color w:val="auto"/>
              </w:rPr>
            </w:pPr>
            <w:r>
              <w:rPr>
                <w:rFonts w:ascii="Arial" w:cs="Arial" w:eastAsia="Arial" w:hAnsi="Arial"/>
                <w:sz w:val="11"/>
                <w:szCs w:val="11"/>
                <w:b w:val="1"/>
                <w:bCs w:val="1"/>
                <w:color w:val="auto"/>
              </w:rPr>
              <w:t>Shares</w:t>
            </w: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Amount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ind w:right="206"/>
              <w:spacing w:after="0"/>
              <w:rPr>
                <w:sz w:val="20"/>
                <w:szCs w:val="20"/>
                <w:color w:val="auto"/>
              </w:rPr>
            </w:pPr>
            <w:r>
              <w:rPr>
                <w:rFonts w:ascii="Arial" w:cs="Arial" w:eastAsia="Arial" w:hAnsi="Arial"/>
                <w:sz w:val="11"/>
                <w:szCs w:val="11"/>
                <w:b w:val="1"/>
                <w:bCs w:val="1"/>
                <w:color w:val="auto"/>
              </w:rPr>
              <w:t>in capital</w:t>
            </w:r>
          </w:p>
        </w:tc>
        <w:tc>
          <w:tcPr>
            <w:tcW w:w="160" w:type="dxa"/>
            <w:vAlign w:val="bottom"/>
          </w:tcPr>
          <w:p>
            <w:pPr>
              <w:spacing w:after="0"/>
              <w:rPr>
                <w:sz w:val="13"/>
                <w:szCs w:val="13"/>
                <w:color w:val="auto"/>
              </w:rPr>
            </w:pPr>
          </w:p>
        </w:tc>
        <w:tc>
          <w:tcPr>
            <w:tcW w:w="780" w:type="dxa"/>
            <w:vAlign w:val="bottom"/>
          </w:tcPr>
          <w:p>
            <w:pPr>
              <w:jc w:val="right"/>
              <w:ind w:right="186"/>
              <w:spacing w:after="0"/>
              <w:rPr>
                <w:sz w:val="20"/>
                <w:szCs w:val="20"/>
                <w:color w:val="auto"/>
              </w:rPr>
            </w:pPr>
            <w:r>
              <w:rPr>
                <w:rFonts w:ascii="Arial" w:cs="Arial" w:eastAsia="Arial" w:hAnsi="Arial"/>
                <w:sz w:val="11"/>
                <w:szCs w:val="11"/>
                <w:b w:val="1"/>
                <w:bCs w:val="1"/>
                <w:color w:val="auto"/>
              </w:rPr>
              <w:t>earnings</w:t>
            </w:r>
          </w:p>
        </w:tc>
        <w:tc>
          <w:tcPr>
            <w:tcW w:w="1540" w:type="dxa"/>
            <w:vAlign w:val="bottom"/>
            <w:gridSpan w:val="2"/>
          </w:tcPr>
          <w:p>
            <w:pPr>
              <w:ind w:left="20"/>
              <w:spacing w:after="0"/>
              <w:rPr>
                <w:sz w:val="20"/>
                <w:szCs w:val="20"/>
                <w:color w:val="auto"/>
              </w:rPr>
            </w:pPr>
            <w:r>
              <w:rPr>
                <w:rFonts w:ascii="Arial" w:cs="Arial" w:eastAsia="Arial" w:hAnsi="Arial"/>
                <w:sz w:val="11"/>
                <w:szCs w:val="11"/>
                <w:b w:val="1"/>
                <w:bCs w:val="1"/>
                <w:color w:val="auto"/>
                <w:w w:val="98"/>
              </w:rPr>
              <w:t>other comprehensive income</w:t>
            </w:r>
          </w:p>
        </w:tc>
        <w:tc>
          <w:tcPr>
            <w:tcW w:w="900" w:type="dxa"/>
            <w:vAlign w:val="bottom"/>
          </w:tcPr>
          <w:p>
            <w:pPr>
              <w:jc w:val="right"/>
              <w:ind w:right="206"/>
              <w:spacing w:after="0"/>
              <w:rPr>
                <w:sz w:val="20"/>
                <w:szCs w:val="20"/>
                <w:color w:val="auto"/>
              </w:rPr>
            </w:pPr>
            <w:r>
              <w:rPr>
                <w:rFonts w:ascii="Arial" w:cs="Arial" w:eastAsia="Arial" w:hAnsi="Arial"/>
                <w:sz w:val="11"/>
                <w:szCs w:val="11"/>
                <w:b w:val="1"/>
                <w:bCs w:val="1"/>
                <w:color w:val="auto"/>
              </w:rPr>
              <w:t>Shares</w:t>
            </w:r>
          </w:p>
        </w:tc>
        <w:tc>
          <w:tcPr>
            <w:tcW w:w="260" w:type="dxa"/>
            <w:vAlign w:val="bottom"/>
          </w:tcPr>
          <w:p>
            <w:pPr>
              <w:spacing w:after="0"/>
              <w:rPr>
                <w:sz w:val="13"/>
                <w:szCs w:val="13"/>
                <w:color w:val="auto"/>
              </w:rPr>
            </w:pPr>
          </w:p>
        </w:tc>
        <w:tc>
          <w:tcPr>
            <w:tcW w:w="700" w:type="dxa"/>
            <w:vAlign w:val="bottom"/>
          </w:tcPr>
          <w:p>
            <w:pPr>
              <w:jc w:val="right"/>
              <w:ind w:right="226"/>
              <w:spacing w:after="0"/>
              <w:rPr>
                <w:sz w:val="20"/>
                <w:szCs w:val="20"/>
                <w:color w:val="auto"/>
              </w:rPr>
            </w:pPr>
            <w:r>
              <w:rPr>
                <w:rFonts w:ascii="Arial" w:cs="Arial" w:eastAsia="Arial" w:hAnsi="Arial"/>
                <w:sz w:val="11"/>
                <w:szCs w:val="11"/>
                <w:b w:val="1"/>
                <w:bCs w:val="1"/>
                <w:color w:val="auto"/>
                <w:w w:val="96"/>
              </w:rPr>
              <w:t>Amount</w:t>
            </w:r>
          </w:p>
        </w:tc>
        <w:tc>
          <w:tcPr>
            <w:tcW w:w="1220" w:type="dxa"/>
            <w:vAlign w:val="bottom"/>
            <w:gridSpan w:val="2"/>
          </w:tcPr>
          <w:p>
            <w:pPr>
              <w:ind w:left="20"/>
              <w:spacing w:after="0"/>
              <w:rPr>
                <w:sz w:val="20"/>
                <w:szCs w:val="20"/>
                <w:color w:val="auto"/>
              </w:rPr>
            </w:pPr>
            <w:r>
              <w:rPr>
                <w:rFonts w:ascii="Arial" w:cs="Arial" w:eastAsia="Arial" w:hAnsi="Arial"/>
                <w:sz w:val="11"/>
                <w:szCs w:val="11"/>
                <w:b w:val="1"/>
                <w:bCs w:val="1"/>
                <w:color w:val="auto"/>
                <w:w w:val="97"/>
              </w:rPr>
              <w:t>Noncontrolling Interest</w:t>
            </w:r>
          </w:p>
        </w:tc>
        <w:tc>
          <w:tcPr>
            <w:tcW w:w="120" w:type="dxa"/>
            <w:vAlign w:val="bottom"/>
          </w:tcPr>
          <w:p>
            <w:pPr>
              <w:spacing w:after="0"/>
              <w:rPr>
                <w:sz w:val="13"/>
                <w:szCs w:val="13"/>
                <w:color w:val="auto"/>
              </w:rPr>
            </w:pPr>
          </w:p>
        </w:tc>
        <w:tc>
          <w:tcPr>
            <w:tcW w:w="860" w:type="dxa"/>
            <w:vAlign w:val="bottom"/>
          </w:tcPr>
          <w:p>
            <w:pPr>
              <w:jc w:val="center"/>
              <w:ind w:right="46"/>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28"/>
        </w:trPr>
        <w:tc>
          <w:tcPr>
            <w:tcW w:w="1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1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June 30, 2025</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40,984</w:t>
            </w:r>
          </w:p>
        </w:tc>
        <w:tc>
          <w:tcPr>
            <w:tcW w:w="72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41</w:t>
            </w:r>
          </w:p>
        </w:tc>
        <w:tc>
          <w:tcPr>
            <w:tcW w:w="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456,587</w:t>
            </w:r>
          </w:p>
        </w:tc>
        <w:tc>
          <w:tcPr>
            <w:tcW w:w="1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1,075,934</w:t>
            </w:r>
          </w:p>
        </w:tc>
        <w:tc>
          <w:tcPr>
            <w:tcW w:w="160" w:type="dxa"/>
            <w:vAlign w:val="bottom"/>
            <w:tcBorders>
              <w:bottom w:val="single" w:sz="8" w:color="auto"/>
            </w:tcBorders>
            <w:shd w:val="clear" w:color="auto" w:fill="CCEEFF"/>
          </w:tcPr>
          <w:p>
            <w:pPr>
              <w:spacing w:after="0"/>
              <w:rPr>
                <w:sz w:val="12"/>
                <w:szCs w:val="1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(144,292)</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11,516</w:t>
            </w:r>
          </w:p>
        </w:tc>
        <w:tc>
          <w:tcPr>
            <w:tcW w:w="2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(499,658)</w:t>
            </w:r>
          </w:p>
        </w:tc>
        <w:tc>
          <w:tcPr>
            <w:tcW w:w="4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5,497</w:t>
            </w:r>
          </w:p>
        </w:tc>
        <w:tc>
          <w:tcPr>
            <w:tcW w:w="1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894,109</w:t>
            </w:r>
          </w:p>
        </w:tc>
        <w:tc>
          <w:tcPr>
            <w:tcW w:w="0" w:type="dxa"/>
            <w:vAlign w:val="bottom"/>
          </w:tcPr>
          <w:p>
            <w:pPr>
              <w:spacing w:after="0"/>
              <w:rPr>
                <w:sz w:val="1"/>
                <w:szCs w:val="1"/>
                <w:color w:val="auto"/>
              </w:rPr>
            </w:pPr>
          </w:p>
        </w:tc>
      </w:tr>
      <w:tr>
        <w:trPr>
          <w:trHeight w:val="152"/>
        </w:trPr>
        <w:tc>
          <w:tcPr>
            <w:tcW w:w="158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spacing w:after="0"/>
              <w:rPr>
                <w:sz w:val="13"/>
                <w:szCs w:val="13"/>
                <w:color w:val="auto"/>
              </w:rPr>
            </w:pPr>
          </w:p>
        </w:tc>
        <w:tc>
          <w:tcPr>
            <w:tcW w:w="2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(97,760)</w:t>
            </w:r>
          </w:p>
        </w:tc>
        <w:tc>
          <w:tcPr>
            <w:tcW w:w="160" w:type="dxa"/>
            <w:vAlign w:val="bottom"/>
          </w:tcPr>
          <w:p>
            <w:pPr>
              <w:spacing w:after="0"/>
              <w:rPr>
                <w:sz w:val="13"/>
                <w:szCs w:val="13"/>
                <w:color w:val="auto"/>
              </w:rPr>
            </w:pPr>
          </w:p>
        </w:tc>
        <w:tc>
          <w:tcPr>
            <w:tcW w:w="13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3"/>
                <w:szCs w:val="13"/>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122</w:t>
            </w: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(97,638)</w:t>
            </w:r>
          </w:p>
        </w:tc>
        <w:tc>
          <w:tcPr>
            <w:tcW w:w="0" w:type="dxa"/>
            <w:vAlign w:val="bottom"/>
          </w:tcPr>
          <w:p>
            <w:pPr>
              <w:spacing w:after="0"/>
              <w:rPr>
                <w:sz w:val="1"/>
                <w:szCs w:val="1"/>
                <w:color w:val="auto"/>
              </w:rPr>
            </w:pPr>
          </w:p>
        </w:tc>
      </w:tr>
      <w:tr>
        <w:trPr>
          <w:trHeight w:val="118"/>
        </w:trPr>
        <w:tc>
          <w:tcPr>
            <w:tcW w:w="158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Stock issued under incentive</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72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13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2"/>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compensation plans</w:t>
            </w: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380" w:type="dxa"/>
            <w:vAlign w:val="bottom"/>
            <w:tcBorders>
              <w:bottom w:val="single" w:sz="8" w:color="CCEEFF"/>
            </w:tcBorders>
            <w:vMerge w:val="continue"/>
            <w:shd w:val="clear" w:color="auto" w:fill="CCEEFF"/>
          </w:tcPr>
          <w:p>
            <w:pPr>
              <w:spacing w:after="0"/>
              <w:rPr>
                <w:sz w:val="12"/>
                <w:szCs w:val="12"/>
                <w:color w:val="auto"/>
              </w:rPr>
            </w:pP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580" w:type="dxa"/>
            <w:vAlign w:val="bottom"/>
          </w:tcPr>
          <w:p>
            <w:pPr>
              <w:ind w:left="20"/>
              <w:spacing w:after="0" w:line="109" w:lineRule="exact"/>
              <w:rPr>
                <w:sz w:val="20"/>
                <w:szCs w:val="20"/>
                <w:color w:val="auto"/>
              </w:rPr>
            </w:pPr>
            <w:r>
              <w:rPr>
                <w:rFonts w:ascii="Arial" w:cs="Arial" w:eastAsia="Arial" w:hAnsi="Arial"/>
                <w:sz w:val="11"/>
                <w:szCs w:val="11"/>
                <w:color w:val="auto"/>
              </w:rPr>
              <w:t>Taxes paid in lieu of share</w:t>
            </w:r>
          </w:p>
        </w:tc>
        <w:tc>
          <w:tcPr>
            <w:tcW w:w="9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spacing w:after="0"/>
              <w:rPr>
                <w:sz w:val="9"/>
                <w:szCs w:val="9"/>
                <w:color w:val="auto"/>
              </w:rPr>
            </w:pPr>
          </w:p>
        </w:tc>
        <w:tc>
          <w:tcPr>
            <w:tcW w:w="2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(137)</w:t>
            </w:r>
          </w:p>
        </w:tc>
        <w:tc>
          <w:tcPr>
            <w:tcW w:w="16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13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9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7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1"/>
                <w:szCs w:val="11"/>
                <w:color w:val="auto"/>
              </w:rPr>
              <w:t>(137)</w:t>
            </w:r>
          </w:p>
        </w:tc>
        <w:tc>
          <w:tcPr>
            <w:tcW w:w="0" w:type="dxa"/>
            <w:vAlign w:val="bottom"/>
          </w:tcPr>
          <w:p>
            <w:pPr>
              <w:spacing w:after="0"/>
              <w:rPr>
                <w:sz w:val="1"/>
                <w:szCs w:val="1"/>
                <w:color w:val="auto"/>
              </w:rPr>
            </w:pPr>
          </w:p>
        </w:tc>
      </w:tr>
      <w:tr>
        <w:trPr>
          <w:trHeight w:val="142"/>
        </w:trPr>
        <w:tc>
          <w:tcPr>
            <w:tcW w:w="1580" w:type="dxa"/>
            <w:vAlign w:val="bottom"/>
          </w:tcPr>
          <w:p>
            <w:pPr>
              <w:ind w:left="20"/>
              <w:spacing w:after="0"/>
              <w:rPr>
                <w:sz w:val="20"/>
                <w:szCs w:val="20"/>
                <w:color w:val="auto"/>
              </w:rPr>
            </w:pPr>
            <w:r>
              <w:rPr>
                <w:rFonts w:ascii="Arial" w:cs="Arial" w:eastAsia="Arial" w:hAnsi="Arial"/>
                <w:sz w:val="11"/>
                <w:szCs w:val="11"/>
                <w:color w:val="auto"/>
              </w:rPr>
              <w:t>issuance</w:t>
            </w:r>
          </w:p>
        </w:tc>
        <w:tc>
          <w:tcPr>
            <w:tcW w:w="90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Stock-based compensation</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3,844</w:t>
            </w:r>
          </w:p>
        </w:tc>
        <w:tc>
          <w:tcPr>
            <w:tcW w:w="16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13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3,844</w:t>
            </w:r>
          </w:p>
        </w:tc>
        <w:tc>
          <w:tcPr>
            <w:tcW w:w="0" w:type="dxa"/>
            <w:vAlign w:val="bottom"/>
          </w:tcPr>
          <w:p>
            <w:pPr>
              <w:spacing w:after="0"/>
              <w:rPr>
                <w:sz w:val="1"/>
                <w:szCs w:val="1"/>
                <w:color w:val="auto"/>
              </w:rPr>
            </w:pPr>
          </w:p>
        </w:tc>
      </w:tr>
      <w:tr>
        <w:trPr>
          <w:trHeight w:val="108"/>
        </w:trPr>
        <w:tc>
          <w:tcPr>
            <w:tcW w:w="1580" w:type="dxa"/>
            <w:vAlign w:val="bottom"/>
          </w:tcPr>
          <w:p>
            <w:pPr>
              <w:ind w:left="20"/>
              <w:spacing w:after="0" w:line="109" w:lineRule="exact"/>
              <w:rPr>
                <w:sz w:val="20"/>
                <w:szCs w:val="20"/>
                <w:color w:val="auto"/>
              </w:rPr>
            </w:pPr>
            <w:r>
              <w:rPr>
                <w:rFonts w:ascii="Arial" w:cs="Arial" w:eastAsia="Arial" w:hAnsi="Arial"/>
                <w:sz w:val="11"/>
                <w:szCs w:val="11"/>
                <w:color w:val="auto"/>
              </w:rPr>
              <w:t>Purchase of Treasury shares</w:t>
            </w:r>
          </w:p>
        </w:tc>
        <w:tc>
          <w:tcPr>
            <w:tcW w:w="9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spacing w:after="0"/>
              <w:rPr>
                <w:sz w:val="9"/>
                <w:szCs w:val="9"/>
                <w:color w:val="auto"/>
              </w:rPr>
            </w:pPr>
          </w:p>
        </w:tc>
        <w:tc>
          <w:tcPr>
            <w:tcW w:w="2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9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13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900" w:type="dxa"/>
            <w:vAlign w:val="bottom"/>
            <w:vMerge w:val="restart"/>
          </w:tcPr>
          <w:p>
            <w:pPr>
              <w:jc w:val="right"/>
              <w:spacing w:after="0"/>
              <w:rPr>
                <w:sz w:val="20"/>
                <w:szCs w:val="20"/>
                <w:color w:val="auto"/>
              </w:rPr>
            </w:pPr>
            <w:r>
              <w:rPr>
                <w:rFonts w:ascii="Arial" w:cs="Arial" w:eastAsia="Arial" w:hAnsi="Arial"/>
                <w:sz w:val="11"/>
                <w:szCs w:val="11"/>
                <w:color w:val="auto"/>
              </w:rPr>
              <w:t>810</w:t>
            </w:r>
          </w:p>
        </w:tc>
        <w:tc>
          <w:tcPr>
            <w:tcW w:w="26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(50,516)</w:t>
            </w:r>
          </w:p>
        </w:tc>
        <w:tc>
          <w:tcPr>
            <w:tcW w:w="48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1"/>
                <w:szCs w:val="11"/>
                <w:color w:val="auto"/>
              </w:rPr>
              <w:t>(50,516)</w:t>
            </w:r>
          </w:p>
        </w:tc>
        <w:tc>
          <w:tcPr>
            <w:tcW w:w="0" w:type="dxa"/>
            <w:vAlign w:val="bottom"/>
          </w:tcPr>
          <w:p>
            <w:pPr>
              <w:spacing w:after="0"/>
              <w:rPr>
                <w:sz w:val="1"/>
                <w:szCs w:val="1"/>
                <w:color w:val="auto"/>
              </w:rPr>
            </w:pPr>
          </w:p>
        </w:tc>
      </w:tr>
      <w:tr>
        <w:trPr>
          <w:trHeight w:val="142"/>
        </w:trPr>
        <w:tc>
          <w:tcPr>
            <w:tcW w:w="1580" w:type="dxa"/>
            <w:vAlign w:val="bottom"/>
          </w:tcPr>
          <w:p>
            <w:pPr>
              <w:ind w:left="20"/>
              <w:spacing w:after="0"/>
              <w:rPr>
                <w:sz w:val="20"/>
                <w:szCs w:val="20"/>
                <w:color w:val="auto"/>
              </w:rPr>
            </w:pPr>
            <w:r>
              <w:rPr>
                <w:rFonts w:ascii="Arial" w:cs="Arial" w:eastAsia="Arial" w:hAnsi="Arial"/>
                <w:sz w:val="11"/>
                <w:szCs w:val="11"/>
                <w:color w:val="auto"/>
              </w:rPr>
              <w:t>(a)</w:t>
            </w:r>
          </w:p>
        </w:tc>
        <w:tc>
          <w:tcPr>
            <w:tcW w:w="90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58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Dividends declared on Class A</w:t>
            </w:r>
          </w:p>
        </w:tc>
        <w:tc>
          <w:tcPr>
            <w:tcW w:w="9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80" w:type="dxa"/>
            <w:vAlign w:val="bottom"/>
            <w:shd w:val="clear" w:color="auto" w:fill="CCEEFF"/>
          </w:tcPr>
          <w:p>
            <w:pPr>
              <w:ind w:left="20"/>
              <w:spacing w:after="0" w:line="108" w:lineRule="exact"/>
              <w:rPr>
                <w:sz w:val="20"/>
                <w:szCs w:val="20"/>
                <w:color w:val="auto"/>
              </w:rPr>
            </w:pPr>
            <w:r>
              <w:rPr>
                <w:rFonts w:ascii="Arial" w:cs="Arial" w:eastAsia="Arial" w:hAnsi="Arial"/>
                <w:sz w:val="11"/>
                <w:szCs w:val="11"/>
                <w:color w:val="auto"/>
              </w:rPr>
              <w:t>Common Stock, $0.27 per</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9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(7,739)</w:t>
            </w:r>
          </w:p>
        </w:tc>
        <w:tc>
          <w:tcPr>
            <w:tcW w:w="160" w:type="dxa"/>
            <w:vAlign w:val="bottom"/>
            <w:shd w:val="clear" w:color="auto" w:fill="CCEEFF"/>
          </w:tcPr>
          <w:p>
            <w:pPr>
              <w:spacing w:after="0"/>
              <w:rPr>
                <w:sz w:val="9"/>
                <w:szCs w:val="9"/>
                <w:color w:val="auto"/>
              </w:rPr>
            </w:pPr>
          </w:p>
        </w:tc>
        <w:tc>
          <w:tcPr>
            <w:tcW w:w="13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(7,739)</w:t>
            </w:r>
          </w:p>
        </w:tc>
        <w:tc>
          <w:tcPr>
            <w:tcW w:w="0" w:type="dxa"/>
            <w:vAlign w:val="bottom"/>
          </w:tcPr>
          <w:p>
            <w:pPr>
              <w:spacing w:after="0"/>
              <w:rPr>
                <w:sz w:val="1"/>
                <w:szCs w:val="1"/>
                <w:color w:val="auto"/>
              </w:rPr>
            </w:pPr>
          </w:p>
        </w:tc>
      </w:tr>
      <w:tr>
        <w:trPr>
          <w:trHeight w:val="142"/>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share</w:t>
            </w: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380" w:type="dxa"/>
            <w:vAlign w:val="bottom"/>
            <w:tcBorders>
              <w:bottom w:val="single" w:sz="8" w:color="CCEEFF"/>
            </w:tcBorders>
            <w:vMerge w:val="continue"/>
            <w:shd w:val="clear" w:color="auto" w:fill="CCEEFF"/>
          </w:tcPr>
          <w:p>
            <w:pPr>
              <w:spacing w:after="0"/>
              <w:rPr>
                <w:sz w:val="12"/>
                <w:szCs w:val="12"/>
                <w:color w:val="auto"/>
              </w:rPr>
            </w:pP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580" w:type="dxa"/>
            <w:vAlign w:val="bottom"/>
          </w:tcPr>
          <w:p>
            <w:pPr>
              <w:ind w:left="20"/>
              <w:spacing w:after="0" w:line="109" w:lineRule="exact"/>
              <w:rPr>
                <w:sz w:val="20"/>
                <w:szCs w:val="20"/>
                <w:color w:val="auto"/>
              </w:rPr>
            </w:pPr>
            <w:r>
              <w:rPr>
                <w:rFonts w:ascii="Arial" w:cs="Arial" w:eastAsia="Arial" w:hAnsi="Arial"/>
                <w:sz w:val="11"/>
                <w:szCs w:val="11"/>
                <w:color w:val="auto"/>
              </w:rPr>
              <w:t>Cumulative translation</w:t>
            </w:r>
          </w:p>
        </w:tc>
        <w:tc>
          <w:tcPr>
            <w:tcW w:w="9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spacing w:after="0"/>
              <w:rPr>
                <w:sz w:val="9"/>
                <w:szCs w:val="9"/>
                <w:color w:val="auto"/>
              </w:rPr>
            </w:pPr>
          </w:p>
        </w:tc>
        <w:tc>
          <w:tcPr>
            <w:tcW w:w="2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9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1380" w:type="dxa"/>
            <w:vAlign w:val="bottom"/>
            <w:vMerge w:val="restart"/>
          </w:tcPr>
          <w:p>
            <w:pPr>
              <w:jc w:val="right"/>
              <w:ind w:right="6"/>
              <w:spacing w:after="0"/>
              <w:rPr>
                <w:sz w:val="20"/>
                <w:szCs w:val="20"/>
                <w:color w:val="auto"/>
              </w:rPr>
            </w:pPr>
            <w:r>
              <w:rPr>
                <w:rFonts w:ascii="Arial" w:cs="Arial" w:eastAsia="Arial" w:hAnsi="Arial"/>
                <w:sz w:val="11"/>
                <w:szCs w:val="11"/>
                <w:color w:val="auto"/>
              </w:rPr>
              <w:t>2,395</w:t>
            </w:r>
          </w:p>
        </w:tc>
        <w:tc>
          <w:tcPr>
            <w:tcW w:w="9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7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90</w:t>
            </w:r>
          </w:p>
        </w:tc>
        <w:tc>
          <w:tcPr>
            <w:tcW w:w="12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1"/>
                <w:szCs w:val="11"/>
                <w:color w:val="auto"/>
              </w:rPr>
              <w:t>2,485</w:t>
            </w:r>
          </w:p>
        </w:tc>
        <w:tc>
          <w:tcPr>
            <w:tcW w:w="0" w:type="dxa"/>
            <w:vAlign w:val="bottom"/>
          </w:tcPr>
          <w:p>
            <w:pPr>
              <w:spacing w:after="0"/>
              <w:rPr>
                <w:sz w:val="1"/>
                <w:szCs w:val="1"/>
                <w:color w:val="auto"/>
              </w:rPr>
            </w:pPr>
          </w:p>
        </w:tc>
      </w:tr>
      <w:tr>
        <w:trPr>
          <w:trHeight w:val="142"/>
        </w:trPr>
        <w:tc>
          <w:tcPr>
            <w:tcW w:w="1580" w:type="dxa"/>
            <w:vAlign w:val="bottom"/>
          </w:tcPr>
          <w:p>
            <w:pPr>
              <w:ind w:left="20"/>
              <w:spacing w:after="0"/>
              <w:rPr>
                <w:sz w:val="20"/>
                <w:szCs w:val="20"/>
                <w:color w:val="auto"/>
              </w:rPr>
            </w:pPr>
            <w:r>
              <w:rPr>
                <w:rFonts w:ascii="Arial" w:cs="Arial" w:eastAsia="Arial" w:hAnsi="Arial"/>
                <w:sz w:val="11"/>
                <w:szCs w:val="11"/>
                <w:color w:val="auto"/>
              </w:rPr>
              <w:t>adjustments</w:t>
            </w:r>
          </w:p>
        </w:tc>
        <w:tc>
          <w:tcPr>
            <w:tcW w:w="90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58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Pension and postretirement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9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13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473</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473</w:t>
            </w:r>
          </w:p>
        </w:tc>
        <w:tc>
          <w:tcPr>
            <w:tcW w:w="0" w:type="dxa"/>
            <w:vAlign w:val="bottom"/>
          </w:tcPr>
          <w:p>
            <w:pPr>
              <w:spacing w:after="0"/>
              <w:rPr>
                <w:sz w:val="1"/>
                <w:szCs w:val="1"/>
                <w:color w:val="auto"/>
              </w:rPr>
            </w:pPr>
          </w:p>
        </w:tc>
      </w:tr>
      <w:tr>
        <w:trPr>
          <w:trHeight w:val="142"/>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liability adjustments</w:t>
            </w: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380" w:type="dxa"/>
            <w:vAlign w:val="bottom"/>
            <w:tcBorders>
              <w:bottom w:val="single" w:sz="8" w:color="CCEEFF"/>
            </w:tcBorders>
            <w:vMerge w:val="continue"/>
            <w:shd w:val="clear" w:color="auto" w:fill="CCEEFF"/>
          </w:tcPr>
          <w:p>
            <w:pPr>
              <w:spacing w:after="0"/>
              <w:rPr>
                <w:sz w:val="12"/>
                <w:szCs w:val="12"/>
                <w:color w:val="auto"/>
              </w:rPr>
            </w:pP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580" w:type="dxa"/>
            <w:vAlign w:val="bottom"/>
          </w:tcPr>
          <w:p>
            <w:pPr>
              <w:ind w:left="20"/>
              <w:spacing w:after="0" w:line="109" w:lineRule="exact"/>
              <w:rPr>
                <w:sz w:val="20"/>
                <w:szCs w:val="20"/>
                <w:color w:val="auto"/>
              </w:rPr>
            </w:pPr>
            <w:r>
              <w:rPr>
                <w:rFonts w:ascii="Arial" w:cs="Arial" w:eastAsia="Arial" w:hAnsi="Arial"/>
                <w:sz w:val="11"/>
                <w:szCs w:val="11"/>
                <w:color w:val="auto"/>
              </w:rPr>
              <w:t>Derivative valuation adjustment</w:t>
            </w:r>
          </w:p>
        </w:tc>
        <w:tc>
          <w:tcPr>
            <w:tcW w:w="9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spacing w:after="0"/>
              <w:rPr>
                <w:sz w:val="9"/>
                <w:szCs w:val="9"/>
                <w:color w:val="auto"/>
              </w:rPr>
            </w:pPr>
          </w:p>
        </w:tc>
        <w:tc>
          <w:tcPr>
            <w:tcW w:w="2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9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1380" w:type="dxa"/>
            <w:vAlign w:val="bottom"/>
            <w:vMerge w:val="restart"/>
          </w:tcPr>
          <w:p>
            <w:pPr>
              <w:jc w:val="right"/>
              <w:ind w:right="6"/>
              <w:spacing w:after="0"/>
              <w:rPr>
                <w:sz w:val="20"/>
                <w:szCs w:val="20"/>
                <w:color w:val="auto"/>
              </w:rPr>
            </w:pPr>
            <w:r>
              <w:rPr>
                <w:rFonts w:ascii="Arial" w:cs="Arial" w:eastAsia="Arial" w:hAnsi="Arial"/>
                <w:sz w:val="11"/>
                <w:szCs w:val="11"/>
                <w:color w:val="auto"/>
              </w:rPr>
              <w:t>126</w:t>
            </w:r>
          </w:p>
        </w:tc>
        <w:tc>
          <w:tcPr>
            <w:tcW w:w="9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7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1"/>
                <w:szCs w:val="11"/>
                <w:color w:val="auto"/>
              </w:rPr>
              <w:t>126</w:t>
            </w:r>
          </w:p>
        </w:tc>
        <w:tc>
          <w:tcPr>
            <w:tcW w:w="0" w:type="dxa"/>
            <w:vAlign w:val="bottom"/>
          </w:tcPr>
          <w:p>
            <w:pPr>
              <w:spacing w:after="0"/>
              <w:rPr>
                <w:sz w:val="1"/>
                <w:szCs w:val="1"/>
                <w:color w:val="auto"/>
              </w:rPr>
            </w:pPr>
          </w:p>
        </w:tc>
      </w:tr>
      <w:tr>
        <w:trPr>
          <w:trHeight w:val="155"/>
        </w:trPr>
        <w:tc>
          <w:tcPr>
            <w:tcW w:w="15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and other</w:t>
            </w:r>
          </w:p>
        </w:tc>
        <w:tc>
          <w:tcPr>
            <w:tcW w:w="900" w:type="dxa"/>
            <w:vAlign w:val="bottom"/>
            <w:tcBorders>
              <w:bottom w:val="single" w:sz="8" w:color="auto"/>
            </w:tcBorders>
            <w:vMerge w:val="continue"/>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vMerge w:val="continue"/>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September 30, 2025</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40,989</w:t>
            </w:r>
          </w:p>
        </w:tc>
        <w:tc>
          <w:tcPr>
            <w:tcW w:w="720" w:type="dxa"/>
            <w:vAlign w:val="bottom"/>
            <w:tcBorders>
              <w:bottom w:val="single" w:sz="8" w:color="auto"/>
            </w:tcBorders>
            <w:shd w:val="clear" w:color="auto" w:fill="CCEEFF"/>
          </w:tcPr>
          <w:p>
            <w:pPr>
              <w:jc w:val="right"/>
              <w:ind w:right="566"/>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41</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460,294</w:t>
            </w:r>
          </w:p>
        </w:tc>
        <w:tc>
          <w:tcPr>
            <w:tcW w:w="1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970,435</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(141,298)</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12,326</w:t>
            </w:r>
          </w:p>
        </w:tc>
        <w:tc>
          <w:tcPr>
            <w:tcW w:w="26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(550,174)</w:t>
            </w: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5,709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745,007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215" w:right="61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35"/>
        </w:trPr>
        <w:tc>
          <w:tcPr>
            <w:tcW w:w="1580" w:type="dxa"/>
            <w:vAlign w:val="bottom"/>
          </w:tcPr>
          <w:p>
            <w:pPr>
              <w:spacing w:after="0"/>
              <w:rPr>
                <w:sz w:val="11"/>
                <w:szCs w:val="11"/>
                <w:color w:val="auto"/>
              </w:rPr>
            </w:pPr>
          </w:p>
        </w:tc>
        <w:tc>
          <w:tcPr>
            <w:tcW w:w="1620" w:type="dxa"/>
            <w:vAlign w:val="bottom"/>
            <w:gridSpan w:val="2"/>
          </w:tcPr>
          <w:p>
            <w:pPr>
              <w:jc w:val="right"/>
              <w:ind w:right="446"/>
              <w:spacing w:after="0"/>
              <w:rPr>
                <w:sz w:val="20"/>
                <w:szCs w:val="20"/>
                <w:color w:val="auto"/>
              </w:rPr>
            </w:pPr>
            <w:r>
              <w:rPr>
                <w:rFonts w:ascii="Arial" w:cs="Arial" w:eastAsia="Arial" w:hAnsi="Arial"/>
                <w:sz w:val="11"/>
                <w:szCs w:val="11"/>
                <w:b w:val="1"/>
                <w:bCs w:val="1"/>
                <w:color w:val="auto"/>
              </w:rPr>
              <w:t>Class A</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160" w:type="dxa"/>
            <w:vAlign w:val="bottom"/>
            <w:gridSpan w:val="2"/>
          </w:tcPr>
          <w:p>
            <w:pPr>
              <w:jc w:val="right"/>
              <w:spacing w:after="0"/>
              <w:rPr>
                <w:sz w:val="20"/>
                <w:szCs w:val="20"/>
                <w:color w:val="auto"/>
              </w:rPr>
            </w:pPr>
            <w:r>
              <w:rPr>
                <w:rFonts w:ascii="Arial" w:cs="Arial" w:eastAsia="Arial" w:hAnsi="Arial"/>
                <w:sz w:val="11"/>
                <w:szCs w:val="11"/>
                <w:b w:val="1"/>
                <w:bCs w:val="1"/>
                <w:color w:val="auto"/>
              </w:rPr>
              <w:t>Class A</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vMerge w:val="restart"/>
          </w:tcPr>
          <w:p>
            <w:pPr>
              <w:jc w:val="center"/>
              <w:ind w:right="86"/>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21"/>
        </w:trPr>
        <w:tc>
          <w:tcPr>
            <w:tcW w:w="1580" w:type="dxa"/>
            <w:vAlign w:val="bottom"/>
          </w:tcPr>
          <w:p>
            <w:pPr>
              <w:spacing w:after="0"/>
              <w:rPr>
                <w:sz w:val="10"/>
                <w:szCs w:val="10"/>
                <w:color w:val="auto"/>
              </w:rPr>
            </w:pPr>
          </w:p>
        </w:tc>
        <w:tc>
          <w:tcPr>
            <w:tcW w:w="1620" w:type="dxa"/>
            <w:vAlign w:val="bottom"/>
            <w:gridSpan w:val="2"/>
          </w:tcPr>
          <w:p>
            <w:pPr>
              <w:jc w:val="right"/>
              <w:ind w:right="246"/>
              <w:spacing w:after="0" w:line="122" w:lineRule="exact"/>
              <w:rPr>
                <w:sz w:val="20"/>
                <w:szCs w:val="20"/>
                <w:color w:val="auto"/>
              </w:rPr>
            </w:pPr>
            <w:r>
              <w:rPr>
                <w:rFonts w:ascii="Arial" w:cs="Arial" w:eastAsia="Arial" w:hAnsi="Arial"/>
                <w:sz w:val="11"/>
                <w:szCs w:val="11"/>
                <w:b w:val="1"/>
                <w:bCs w:val="1"/>
                <w:color w:val="auto"/>
              </w:rPr>
              <w:t>Common Stock</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860" w:type="dxa"/>
            <w:vAlign w:val="bottom"/>
            <w:gridSpan w:val="3"/>
          </w:tcPr>
          <w:p>
            <w:pPr>
              <w:jc w:val="right"/>
              <w:ind w:right="486"/>
              <w:spacing w:after="0" w:line="122" w:lineRule="exact"/>
              <w:rPr>
                <w:sz w:val="20"/>
                <w:szCs w:val="20"/>
                <w:color w:val="auto"/>
              </w:rPr>
            </w:pPr>
            <w:r>
              <w:rPr>
                <w:rFonts w:ascii="Arial" w:cs="Arial" w:eastAsia="Arial" w:hAnsi="Arial"/>
                <w:sz w:val="11"/>
                <w:szCs w:val="11"/>
                <w:b w:val="1"/>
                <w:bCs w:val="1"/>
                <w:color w:val="auto"/>
              </w:rPr>
              <w:t>Treasury Stock</w:t>
            </w: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15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vMerge w:val="restart"/>
          </w:tcPr>
          <w:p>
            <w:pPr>
              <w:jc w:val="right"/>
              <w:ind w:right="26"/>
              <w:spacing w:after="0" w:line="122" w:lineRule="exact"/>
              <w:rPr>
                <w:sz w:val="20"/>
                <w:szCs w:val="20"/>
                <w:color w:val="auto"/>
              </w:rPr>
            </w:pPr>
            <w:r>
              <w:rPr>
                <w:rFonts w:ascii="Arial" w:cs="Arial" w:eastAsia="Arial" w:hAnsi="Arial"/>
                <w:sz w:val="11"/>
                <w:szCs w:val="11"/>
                <w:b w:val="1"/>
                <w:bCs w:val="1"/>
                <w:color w:val="auto"/>
                <w:w w:val="96"/>
              </w:rPr>
              <w:t>Additional paid-</w:t>
            </w:r>
          </w:p>
        </w:tc>
        <w:tc>
          <w:tcPr>
            <w:tcW w:w="160" w:type="dxa"/>
            <w:vAlign w:val="bottom"/>
          </w:tcPr>
          <w:p>
            <w:pPr>
              <w:spacing w:after="0"/>
              <w:rPr>
                <w:sz w:val="3"/>
                <w:szCs w:val="3"/>
                <w:color w:val="auto"/>
              </w:rPr>
            </w:pPr>
          </w:p>
        </w:tc>
        <w:tc>
          <w:tcPr>
            <w:tcW w:w="800" w:type="dxa"/>
            <w:vAlign w:val="bottom"/>
            <w:vMerge w:val="restart"/>
          </w:tcPr>
          <w:p>
            <w:pPr>
              <w:jc w:val="right"/>
              <w:ind w:right="206"/>
              <w:spacing w:after="0" w:line="122" w:lineRule="exact"/>
              <w:rPr>
                <w:sz w:val="20"/>
                <w:szCs w:val="20"/>
                <w:color w:val="auto"/>
              </w:rPr>
            </w:pPr>
            <w:r>
              <w:rPr>
                <w:rFonts w:ascii="Arial" w:cs="Arial" w:eastAsia="Arial" w:hAnsi="Arial"/>
                <w:sz w:val="11"/>
                <w:szCs w:val="11"/>
                <w:b w:val="1"/>
                <w:bCs w:val="1"/>
                <w:color w:val="auto"/>
              </w:rPr>
              <w:t>Retained</w:t>
            </w:r>
          </w:p>
        </w:tc>
        <w:tc>
          <w:tcPr>
            <w:tcW w:w="160" w:type="dxa"/>
            <w:vAlign w:val="bottom"/>
          </w:tcPr>
          <w:p>
            <w:pPr>
              <w:spacing w:after="0"/>
              <w:rPr>
                <w:sz w:val="3"/>
                <w:szCs w:val="3"/>
                <w:color w:val="auto"/>
              </w:rPr>
            </w:pPr>
          </w:p>
        </w:tc>
        <w:tc>
          <w:tcPr>
            <w:tcW w:w="1380" w:type="dxa"/>
            <w:vAlign w:val="bottom"/>
            <w:vMerge w:val="restart"/>
          </w:tcPr>
          <w:p>
            <w:pPr>
              <w:jc w:val="right"/>
              <w:ind w:right="146"/>
              <w:spacing w:after="0" w:line="122" w:lineRule="exact"/>
              <w:rPr>
                <w:sz w:val="20"/>
                <w:szCs w:val="20"/>
                <w:color w:val="auto"/>
              </w:rPr>
            </w:pPr>
            <w:r>
              <w:rPr>
                <w:rFonts w:ascii="Arial" w:cs="Arial" w:eastAsia="Arial" w:hAnsi="Arial"/>
                <w:sz w:val="11"/>
                <w:szCs w:val="11"/>
                <w:b w:val="1"/>
                <w:bCs w:val="1"/>
                <w:color w:val="auto"/>
              </w:rPr>
              <w:t>Accumulated items of</w:t>
            </w:r>
          </w:p>
        </w:tc>
        <w:tc>
          <w:tcPr>
            <w:tcW w:w="9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vMerge w:val="restart"/>
          </w:tcPr>
          <w:p>
            <w:pPr>
              <w:jc w:val="center"/>
              <w:ind w:right="46"/>
              <w:spacing w:after="0" w:line="122" w:lineRule="exact"/>
              <w:rPr>
                <w:sz w:val="20"/>
                <w:szCs w:val="20"/>
                <w:color w:val="auto"/>
              </w:rPr>
            </w:pPr>
            <w:r>
              <w:rPr>
                <w:rFonts w:ascii="Arial" w:cs="Arial" w:eastAsia="Arial" w:hAnsi="Arial"/>
                <w:sz w:val="11"/>
                <w:szCs w:val="11"/>
                <w:b w:val="1"/>
                <w:bCs w:val="1"/>
                <w:color w:val="auto"/>
                <w:w w:val="98"/>
              </w:rPr>
              <w:t>Shareholders'</w:t>
            </w:r>
          </w:p>
        </w:tc>
        <w:tc>
          <w:tcPr>
            <w:tcW w:w="0" w:type="dxa"/>
            <w:vAlign w:val="bottom"/>
          </w:tcPr>
          <w:p>
            <w:pPr>
              <w:spacing w:after="0"/>
              <w:rPr>
                <w:sz w:val="1"/>
                <w:szCs w:val="1"/>
                <w:color w:val="auto"/>
              </w:rPr>
            </w:pPr>
          </w:p>
        </w:tc>
      </w:tr>
      <w:tr>
        <w:trPr>
          <w:trHeight w:val="61"/>
        </w:trPr>
        <w:tc>
          <w:tcPr>
            <w:tcW w:w="1580" w:type="dxa"/>
            <w:vAlign w:val="bottom"/>
          </w:tcPr>
          <w:p>
            <w:pPr>
              <w:spacing w:after="0"/>
              <w:rPr>
                <w:sz w:val="5"/>
                <w:szCs w:val="5"/>
                <w:color w:val="auto"/>
              </w:rPr>
            </w:pPr>
          </w:p>
        </w:tc>
        <w:tc>
          <w:tcPr>
            <w:tcW w:w="8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58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thousands)</w:t>
            </w:r>
          </w:p>
        </w:tc>
        <w:tc>
          <w:tcPr>
            <w:tcW w:w="88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Shares</w:t>
            </w:r>
          </w:p>
        </w:tc>
        <w:tc>
          <w:tcPr>
            <w:tcW w:w="7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Amount</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b w:val="1"/>
                <w:bCs w:val="1"/>
                <w:color w:val="auto"/>
              </w:rPr>
              <w:t>in capital</w:t>
            </w: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earnings</w:t>
            </w:r>
          </w:p>
        </w:tc>
        <w:tc>
          <w:tcPr>
            <w:tcW w:w="154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w w:val="98"/>
              </w:rPr>
              <w:t>other comprehensive income</w:t>
            </w:r>
          </w:p>
        </w:tc>
        <w:tc>
          <w:tcPr>
            <w:tcW w:w="90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b w:val="1"/>
                <w:bCs w:val="1"/>
                <w:color w:val="auto"/>
              </w:rPr>
              <w:t>Shares</w:t>
            </w: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w w:val="96"/>
              </w:rPr>
              <w:t>Amount</w:t>
            </w:r>
          </w:p>
        </w:tc>
        <w:tc>
          <w:tcPr>
            <w:tcW w:w="122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w w:val="97"/>
              </w:rPr>
              <w:t>Noncontrolling Interest</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156"/>
        </w:trPr>
        <w:tc>
          <w:tcPr>
            <w:tcW w:w="1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December 31, 2024</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40,917</w:t>
            </w:r>
          </w:p>
        </w:tc>
        <w:tc>
          <w:tcPr>
            <w:tcW w:w="740" w:type="dxa"/>
            <w:vAlign w:val="bottom"/>
            <w:tcBorders>
              <w:bottom w:val="single" w:sz="8" w:color="auto"/>
            </w:tcBorders>
            <w:shd w:val="clear" w:color="auto" w:fill="CCEEFF"/>
          </w:tcPr>
          <w:p>
            <w:pPr>
              <w:jc w:val="right"/>
              <w:ind w:right="586"/>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452,933</w:t>
            </w:r>
          </w:p>
        </w:tc>
        <w:tc>
          <w:tcPr>
            <w:tcW w:w="1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1,065,763</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(195,989)</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9,845</w:t>
            </w:r>
          </w:p>
        </w:tc>
        <w:tc>
          <w:tcPr>
            <w:tcW w:w="26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(379,210)</w:t>
            </w: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5,409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948,947</w:t>
            </w:r>
          </w:p>
        </w:tc>
        <w:tc>
          <w:tcPr>
            <w:tcW w:w="0" w:type="dxa"/>
            <w:vAlign w:val="bottom"/>
          </w:tcPr>
          <w:p>
            <w:pPr>
              <w:spacing w:after="0"/>
              <w:rPr>
                <w:sz w:val="1"/>
                <w:szCs w:val="1"/>
                <w:color w:val="auto"/>
              </w:rPr>
            </w:pPr>
          </w:p>
        </w:tc>
      </w:tr>
      <w:tr>
        <w:trPr>
          <w:trHeight w:val="142"/>
        </w:trPr>
        <w:tc>
          <w:tcPr>
            <w:tcW w:w="158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(71,222)</w:t>
            </w:r>
          </w:p>
        </w:tc>
        <w:tc>
          <w:tcPr>
            <w:tcW w:w="160" w:type="dxa"/>
            <w:vAlign w:val="bottom"/>
          </w:tcPr>
          <w:p>
            <w:pPr>
              <w:spacing w:after="0"/>
              <w:rPr>
                <w:sz w:val="12"/>
                <w:szCs w:val="12"/>
                <w:color w:val="auto"/>
              </w:rPr>
            </w:pPr>
          </w:p>
        </w:tc>
        <w:tc>
          <w:tcPr>
            <w:tcW w:w="13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265</w:t>
            </w: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(70,957)</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58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Stock issued under incentive</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61</w:t>
            </w:r>
          </w:p>
        </w:tc>
        <w:tc>
          <w:tcPr>
            <w:tcW w:w="740" w:type="dxa"/>
            <w:vAlign w:val="bottom"/>
            <w:shd w:val="clear" w:color="auto" w:fill="CCEEFF"/>
          </w:tcPr>
          <w:p>
            <w:pPr>
              <w:spacing w:after="0"/>
              <w:rPr>
                <w:sz w:val="9"/>
                <w:szCs w:val="9"/>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(1,067)</w:t>
            </w:r>
          </w:p>
        </w:tc>
        <w:tc>
          <w:tcPr>
            <w:tcW w:w="16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13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(1,067)</w:t>
            </w:r>
          </w:p>
        </w:tc>
        <w:tc>
          <w:tcPr>
            <w:tcW w:w="0" w:type="dxa"/>
            <w:vAlign w:val="bottom"/>
          </w:tcPr>
          <w:p>
            <w:pPr>
              <w:spacing w:after="0"/>
              <w:rPr>
                <w:sz w:val="1"/>
                <w:szCs w:val="1"/>
                <w:color w:val="auto"/>
              </w:rPr>
            </w:pPr>
          </w:p>
        </w:tc>
      </w:tr>
      <w:tr>
        <w:trPr>
          <w:trHeight w:val="142"/>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compensation plans</w:t>
            </w:r>
          </w:p>
        </w:tc>
        <w:tc>
          <w:tcPr>
            <w:tcW w:w="880" w:type="dxa"/>
            <w:vAlign w:val="bottom"/>
            <w:tcBorders>
              <w:bottom w:val="single" w:sz="8" w:color="CCEEFF"/>
            </w:tcBorders>
            <w:vMerge w:val="continue"/>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380" w:type="dxa"/>
            <w:vAlign w:val="bottom"/>
            <w:tcBorders>
              <w:bottom w:val="single" w:sz="8" w:color="CCEEFF"/>
            </w:tcBorders>
            <w:vMerge w:val="continue"/>
            <w:shd w:val="clear" w:color="auto" w:fill="CCEEFF"/>
          </w:tcPr>
          <w:p>
            <w:pPr>
              <w:spacing w:after="0"/>
              <w:rPr>
                <w:sz w:val="12"/>
                <w:szCs w:val="12"/>
                <w:color w:val="auto"/>
              </w:rPr>
            </w:pP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580" w:type="dxa"/>
            <w:vAlign w:val="bottom"/>
          </w:tcPr>
          <w:p>
            <w:pPr>
              <w:ind w:left="20"/>
              <w:spacing w:after="0" w:line="109" w:lineRule="exact"/>
              <w:rPr>
                <w:sz w:val="20"/>
                <w:szCs w:val="20"/>
                <w:color w:val="auto"/>
              </w:rPr>
            </w:pPr>
            <w:r>
              <w:rPr>
                <w:rFonts w:ascii="Arial" w:cs="Arial" w:eastAsia="Arial" w:hAnsi="Arial"/>
                <w:sz w:val="11"/>
                <w:szCs w:val="11"/>
                <w:color w:val="auto"/>
              </w:rPr>
              <w:t>Taxes paid in lieu of share</w:t>
            </w:r>
          </w:p>
        </w:tc>
        <w:tc>
          <w:tcPr>
            <w:tcW w:w="8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spacing w:after="0"/>
              <w:rPr>
                <w:sz w:val="9"/>
                <w:szCs w:val="9"/>
                <w:color w:val="auto"/>
              </w:rPr>
            </w:pPr>
          </w:p>
        </w:tc>
        <w:tc>
          <w:tcPr>
            <w:tcW w:w="2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Arial" w:cs="Arial" w:eastAsia="Arial" w:hAnsi="Arial"/>
                <w:sz w:val="11"/>
                <w:szCs w:val="11"/>
                <w:color w:val="auto"/>
              </w:rPr>
              <w:t>(1,454)</w:t>
            </w:r>
          </w:p>
        </w:tc>
        <w:tc>
          <w:tcPr>
            <w:tcW w:w="16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13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9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7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1"/>
                <w:szCs w:val="11"/>
                <w:color w:val="auto"/>
              </w:rPr>
              <w:t>(1,454)</w:t>
            </w:r>
          </w:p>
        </w:tc>
        <w:tc>
          <w:tcPr>
            <w:tcW w:w="0" w:type="dxa"/>
            <w:vAlign w:val="bottom"/>
          </w:tcPr>
          <w:p>
            <w:pPr>
              <w:spacing w:after="0"/>
              <w:rPr>
                <w:sz w:val="1"/>
                <w:szCs w:val="1"/>
                <w:color w:val="auto"/>
              </w:rPr>
            </w:pPr>
          </w:p>
        </w:tc>
      </w:tr>
      <w:tr>
        <w:trPr>
          <w:trHeight w:val="142"/>
        </w:trPr>
        <w:tc>
          <w:tcPr>
            <w:tcW w:w="1580" w:type="dxa"/>
            <w:vAlign w:val="bottom"/>
          </w:tcPr>
          <w:p>
            <w:pPr>
              <w:ind w:left="20"/>
              <w:spacing w:after="0"/>
              <w:rPr>
                <w:sz w:val="20"/>
                <w:szCs w:val="20"/>
                <w:color w:val="auto"/>
              </w:rPr>
            </w:pPr>
            <w:r>
              <w:rPr>
                <w:rFonts w:ascii="Arial" w:cs="Arial" w:eastAsia="Arial" w:hAnsi="Arial"/>
                <w:sz w:val="11"/>
                <w:szCs w:val="11"/>
                <w:color w:val="auto"/>
              </w:rPr>
              <w:t>issuance</w:t>
            </w:r>
          </w:p>
        </w:tc>
        <w:tc>
          <w:tcPr>
            <w:tcW w:w="88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Stock-based compensation</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9,122</w:t>
            </w:r>
          </w:p>
        </w:tc>
        <w:tc>
          <w:tcPr>
            <w:tcW w:w="1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13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9,122</w:t>
            </w:r>
          </w:p>
        </w:tc>
        <w:tc>
          <w:tcPr>
            <w:tcW w:w="0" w:type="dxa"/>
            <w:vAlign w:val="bottom"/>
          </w:tcPr>
          <w:p>
            <w:pPr>
              <w:spacing w:after="0"/>
              <w:rPr>
                <w:sz w:val="1"/>
                <w:szCs w:val="1"/>
                <w:color w:val="auto"/>
              </w:rPr>
            </w:pPr>
          </w:p>
        </w:tc>
      </w:tr>
      <w:tr>
        <w:trPr>
          <w:trHeight w:val="142"/>
        </w:trPr>
        <w:tc>
          <w:tcPr>
            <w:tcW w:w="1580" w:type="dxa"/>
            <w:vAlign w:val="bottom"/>
          </w:tcPr>
          <w:p>
            <w:pPr>
              <w:ind w:left="20"/>
              <w:spacing w:after="0"/>
              <w:rPr>
                <w:sz w:val="20"/>
                <w:szCs w:val="20"/>
                <w:color w:val="auto"/>
              </w:rPr>
            </w:pPr>
            <w:r>
              <w:rPr>
                <w:rFonts w:ascii="Arial" w:cs="Arial" w:eastAsia="Arial" w:hAnsi="Arial"/>
                <w:sz w:val="11"/>
                <w:szCs w:val="11"/>
                <w:color w:val="auto"/>
              </w:rPr>
              <w:t>Shares issued to Directors'</w:t>
            </w:r>
          </w:p>
        </w:tc>
        <w:tc>
          <w:tcPr>
            <w:tcW w:w="880" w:type="dxa"/>
            <w:vAlign w:val="bottom"/>
          </w:tcPr>
          <w:p>
            <w:pPr>
              <w:jc w:val="right"/>
              <w:spacing w:after="0"/>
              <w:rPr>
                <w:sz w:val="20"/>
                <w:szCs w:val="20"/>
                <w:color w:val="auto"/>
              </w:rPr>
            </w:pPr>
            <w:r>
              <w:rPr>
                <w:rFonts w:ascii="Arial" w:cs="Arial" w:eastAsia="Arial" w:hAnsi="Arial"/>
                <w:sz w:val="11"/>
                <w:szCs w:val="11"/>
                <w:color w:val="auto"/>
              </w:rPr>
              <w:t>11</w:t>
            </w:r>
          </w:p>
        </w:tc>
        <w:tc>
          <w:tcPr>
            <w:tcW w:w="74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760</w:t>
            </w:r>
          </w:p>
        </w:tc>
        <w:tc>
          <w:tcPr>
            <w:tcW w:w="1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3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760</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58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Purchase of Treasury shares</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spacing w:after="0"/>
              <w:rPr>
                <w:sz w:val="9"/>
                <w:szCs w:val="9"/>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13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2,481</w:t>
            </w:r>
          </w:p>
        </w:tc>
        <w:tc>
          <w:tcPr>
            <w:tcW w:w="26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(170,964)</w:t>
            </w:r>
          </w:p>
        </w:tc>
        <w:tc>
          <w:tcPr>
            <w:tcW w:w="4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(170,964)</w:t>
            </w:r>
          </w:p>
        </w:tc>
        <w:tc>
          <w:tcPr>
            <w:tcW w:w="0" w:type="dxa"/>
            <w:vAlign w:val="bottom"/>
          </w:tcPr>
          <w:p>
            <w:pPr>
              <w:spacing w:after="0"/>
              <w:rPr>
                <w:sz w:val="1"/>
                <w:szCs w:val="1"/>
                <w:color w:val="auto"/>
              </w:rPr>
            </w:pPr>
          </w:p>
        </w:tc>
      </w:tr>
      <w:tr>
        <w:trPr>
          <w:trHeight w:val="142"/>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w:t>
            </w:r>
          </w:p>
        </w:tc>
        <w:tc>
          <w:tcPr>
            <w:tcW w:w="880" w:type="dxa"/>
            <w:vAlign w:val="bottom"/>
            <w:tcBorders>
              <w:bottom w:val="single" w:sz="8" w:color="CCEEFF"/>
            </w:tcBorders>
            <w:vMerge w:val="continue"/>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380" w:type="dxa"/>
            <w:vAlign w:val="bottom"/>
            <w:tcBorders>
              <w:bottom w:val="single" w:sz="8" w:color="CCEEFF"/>
            </w:tcBorders>
            <w:vMerge w:val="continue"/>
            <w:shd w:val="clear" w:color="auto" w:fill="CCEEFF"/>
          </w:tcPr>
          <w:p>
            <w:pPr>
              <w:spacing w:after="0"/>
              <w:rPr>
                <w:sz w:val="12"/>
                <w:szCs w:val="12"/>
                <w:color w:val="auto"/>
              </w:rPr>
            </w:pP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580" w:type="dxa"/>
            <w:vAlign w:val="bottom"/>
          </w:tcPr>
          <w:p>
            <w:pPr>
              <w:ind w:left="20"/>
              <w:spacing w:after="0" w:line="109" w:lineRule="exact"/>
              <w:rPr>
                <w:sz w:val="20"/>
                <w:szCs w:val="20"/>
                <w:color w:val="auto"/>
              </w:rPr>
            </w:pPr>
            <w:r>
              <w:rPr>
                <w:rFonts w:ascii="Arial" w:cs="Arial" w:eastAsia="Arial" w:hAnsi="Arial"/>
                <w:sz w:val="11"/>
                <w:szCs w:val="11"/>
                <w:color w:val="auto"/>
              </w:rPr>
              <w:t>Dividends declared on Class A</w:t>
            </w:r>
          </w:p>
        </w:tc>
        <w:tc>
          <w:tcPr>
            <w:tcW w:w="8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80" w:type="dxa"/>
            <w:vAlign w:val="bottom"/>
          </w:tcPr>
          <w:p>
            <w:pPr>
              <w:ind w:left="20"/>
              <w:spacing w:after="0" w:line="108" w:lineRule="exact"/>
              <w:rPr>
                <w:sz w:val="20"/>
                <w:szCs w:val="20"/>
                <w:color w:val="auto"/>
              </w:rPr>
            </w:pPr>
            <w:r>
              <w:rPr>
                <w:rFonts w:ascii="Arial" w:cs="Arial" w:eastAsia="Arial" w:hAnsi="Arial"/>
                <w:sz w:val="11"/>
                <w:szCs w:val="11"/>
                <w:color w:val="auto"/>
              </w:rPr>
              <w:t>Common Stock, $0.81 per</w:t>
            </w:r>
          </w:p>
        </w:tc>
        <w:tc>
          <w:tcPr>
            <w:tcW w:w="8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spacing w:after="0"/>
              <w:rPr>
                <w:sz w:val="9"/>
                <w:szCs w:val="9"/>
                <w:color w:val="auto"/>
              </w:rPr>
            </w:pPr>
          </w:p>
        </w:tc>
        <w:tc>
          <w:tcPr>
            <w:tcW w:w="2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(24,025)</w:t>
            </w:r>
          </w:p>
        </w:tc>
        <w:tc>
          <w:tcPr>
            <w:tcW w:w="160" w:type="dxa"/>
            <w:vAlign w:val="bottom"/>
          </w:tcPr>
          <w:p>
            <w:pPr>
              <w:spacing w:after="0"/>
              <w:rPr>
                <w:sz w:val="9"/>
                <w:szCs w:val="9"/>
                <w:color w:val="auto"/>
              </w:rPr>
            </w:pPr>
          </w:p>
        </w:tc>
        <w:tc>
          <w:tcPr>
            <w:tcW w:w="13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9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7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1"/>
                <w:szCs w:val="11"/>
                <w:color w:val="auto"/>
              </w:rPr>
              <w:t>(24,025)</w:t>
            </w:r>
          </w:p>
        </w:tc>
        <w:tc>
          <w:tcPr>
            <w:tcW w:w="0" w:type="dxa"/>
            <w:vAlign w:val="bottom"/>
          </w:tcPr>
          <w:p>
            <w:pPr>
              <w:spacing w:after="0"/>
              <w:rPr>
                <w:sz w:val="1"/>
                <w:szCs w:val="1"/>
                <w:color w:val="auto"/>
              </w:rPr>
            </w:pPr>
          </w:p>
        </w:tc>
      </w:tr>
      <w:tr>
        <w:trPr>
          <w:trHeight w:val="142"/>
        </w:trPr>
        <w:tc>
          <w:tcPr>
            <w:tcW w:w="1580" w:type="dxa"/>
            <w:vAlign w:val="bottom"/>
          </w:tcPr>
          <w:p>
            <w:pPr>
              <w:ind w:left="20"/>
              <w:spacing w:after="0"/>
              <w:rPr>
                <w:sz w:val="20"/>
                <w:szCs w:val="20"/>
                <w:color w:val="auto"/>
              </w:rPr>
            </w:pPr>
            <w:r>
              <w:rPr>
                <w:rFonts w:ascii="Arial" w:cs="Arial" w:eastAsia="Arial" w:hAnsi="Arial"/>
                <w:sz w:val="11"/>
                <w:szCs w:val="11"/>
                <w:color w:val="auto"/>
              </w:rPr>
              <w:t>share</w:t>
            </w:r>
          </w:p>
        </w:tc>
        <w:tc>
          <w:tcPr>
            <w:tcW w:w="88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58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w w:val="98"/>
              </w:rPr>
              <w:t>Dividends paid to noncontrolling</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spacing w:after="0"/>
              <w:rPr>
                <w:sz w:val="9"/>
                <w:szCs w:val="9"/>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13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(88)</w:t>
            </w:r>
          </w:p>
        </w:tc>
        <w:tc>
          <w:tcPr>
            <w:tcW w:w="12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(88)</w:t>
            </w:r>
          </w:p>
        </w:tc>
        <w:tc>
          <w:tcPr>
            <w:tcW w:w="0" w:type="dxa"/>
            <w:vAlign w:val="bottom"/>
          </w:tcPr>
          <w:p>
            <w:pPr>
              <w:spacing w:after="0"/>
              <w:rPr>
                <w:sz w:val="1"/>
                <w:szCs w:val="1"/>
                <w:color w:val="auto"/>
              </w:rPr>
            </w:pPr>
          </w:p>
        </w:tc>
      </w:tr>
      <w:tr>
        <w:trPr>
          <w:trHeight w:val="142"/>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interests</w:t>
            </w:r>
          </w:p>
        </w:tc>
        <w:tc>
          <w:tcPr>
            <w:tcW w:w="880" w:type="dxa"/>
            <w:vAlign w:val="bottom"/>
            <w:tcBorders>
              <w:bottom w:val="single" w:sz="8" w:color="CCEEFF"/>
            </w:tcBorders>
            <w:vMerge w:val="continue"/>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380" w:type="dxa"/>
            <w:vAlign w:val="bottom"/>
            <w:tcBorders>
              <w:bottom w:val="single" w:sz="8" w:color="CCEEFF"/>
            </w:tcBorders>
            <w:vMerge w:val="continue"/>
            <w:shd w:val="clear" w:color="auto" w:fill="CCEEFF"/>
          </w:tcPr>
          <w:p>
            <w:pPr>
              <w:spacing w:after="0"/>
              <w:rPr>
                <w:sz w:val="12"/>
                <w:szCs w:val="12"/>
                <w:color w:val="auto"/>
              </w:rPr>
            </w:pP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580" w:type="dxa"/>
            <w:vAlign w:val="bottom"/>
          </w:tcPr>
          <w:p>
            <w:pPr>
              <w:ind w:left="20"/>
              <w:spacing w:after="0" w:line="109" w:lineRule="exact"/>
              <w:rPr>
                <w:sz w:val="20"/>
                <w:szCs w:val="20"/>
                <w:color w:val="auto"/>
              </w:rPr>
            </w:pPr>
            <w:r>
              <w:rPr>
                <w:rFonts w:ascii="Arial" w:cs="Arial" w:eastAsia="Arial" w:hAnsi="Arial"/>
                <w:sz w:val="11"/>
                <w:szCs w:val="11"/>
                <w:color w:val="auto"/>
              </w:rPr>
              <w:t>Cumulative translation</w:t>
            </w:r>
          </w:p>
        </w:tc>
        <w:tc>
          <w:tcPr>
            <w:tcW w:w="8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spacing w:after="0"/>
              <w:rPr>
                <w:sz w:val="9"/>
                <w:szCs w:val="9"/>
                <w:color w:val="auto"/>
              </w:rPr>
            </w:pPr>
          </w:p>
        </w:tc>
        <w:tc>
          <w:tcPr>
            <w:tcW w:w="2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1380" w:type="dxa"/>
            <w:vAlign w:val="bottom"/>
            <w:vMerge w:val="restart"/>
          </w:tcPr>
          <w:p>
            <w:pPr>
              <w:jc w:val="right"/>
              <w:ind w:right="6"/>
              <w:spacing w:after="0"/>
              <w:rPr>
                <w:sz w:val="20"/>
                <w:szCs w:val="20"/>
                <w:color w:val="auto"/>
              </w:rPr>
            </w:pPr>
            <w:r>
              <w:rPr>
                <w:rFonts w:ascii="Arial" w:cs="Arial" w:eastAsia="Arial" w:hAnsi="Arial"/>
                <w:sz w:val="11"/>
                <w:szCs w:val="11"/>
                <w:color w:val="auto"/>
              </w:rPr>
              <w:t>58,366</w:t>
            </w:r>
          </w:p>
        </w:tc>
        <w:tc>
          <w:tcPr>
            <w:tcW w:w="9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7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35</w:t>
            </w:r>
          </w:p>
        </w:tc>
        <w:tc>
          <w:tcPr>
            <w:tcW w:w="12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1"/>
                <w:szCs w:val="11"/>
                <w:color w:val="auto"/>
              </w:rPr>
              <w:t>58,401</w:t>
            </w:r>
          </w:p>
        </w:tc>
        <w:tc>
          <w:tcPr>
            <w:tcW w:w="0" w:type="dxa"/>
            <w:vAlign w:val="bottom"/>
          </w:tcPr>
          <w:p>
            <w:pPr>
              <w:spacing w:after="0"/>
              <w:rPr>
                <w:sz w:val="1"/>
                <w:szCs w:val="1"/>
                <w:color w:val="auto"/>
              </w:rPr>
            </w:pPr>
          </w:p>
        </w:tc>
      </w:tr>
      <w:tr>
        <w:trPr>
          <w:trHeight w:val="142"/>
        </w:trPr>
        <w:tc>
          <w:tcPr>
            <w:tcW w:w="1580" w:type="dxa"/>
            <w:vAlign w:val="bottom"/>
          </w:tcPr>
          <w:p>
            <w:pPr>
              <w:ind w:left="20"/>
              <w:spacing w:after="0"/>
              <w:rPr>
                <w:sz w:val="20"/>
                <w:szCs w:val="20"/>
                <w:color w:val="auto"/>
              </w:rPr>
            </w:pPr>
            <w:r>
              <w:rPr>
                <w:rFonts w:ascii="Arial" w:cs="Arial" w:eastAsia="Arial" w:hAnsi="Arial"/>
                <w:sz w:val="11"/>
                <w:szCs w:val="11"/>
                <w:color w:val="auto"/>
              </w:rPr>
              <w:t>adjustments</w:t>
            </w:r>
          </w:p>
        </w:tc>
        <w:tc>
          <w:tcPr>
            <w:tcW w:w="88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58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Pension and postretirement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spacing w:after="0"/>
              <w:rPr>
                <w:sz w:val="9"/>
                <w:szCs w:val="9"/>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(3,044)</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(3,044)</w:t>
            </w:r>
          </w:p>
        </w:tc>
        <w:tc>
          <w:tcPr>
            <w:tcW w:w="0" w:type="dxa"/>
            <w:vAlign w:val="bottom"/>
          </w:tcPr>
          <w:p>
            <w:pPr>
              <w:spacing w:after="0"/>
              <w:rPr>
                <w:sz w:val="1"/>
                <w:szCs w:val="1"/>
                <w:color w:val="auto"/>
              </w:rPr>
            </w:pPr>
          </w:p>
        </w:tc>
      </w:tr>
      <w:tr>
        <w:trPr>
          <w:trHeight w:val="142"/>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liability adjustments</w:t>
            </w:r>
          </w:p>
        </w:tc>
        <w:tc>
          <w:tcPr>
            <w:tcW w:w="880" w:type="dxa"/>
            <w:vAlign w:val="bottom"/>
            <w:tcBorders>
              <w:bottom w:val="single" w:sz="8" w:color="CCEEFF"/>
            </w:tcBorders>
            <w:vMerge w:val="continue"/>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380" w:type="dxa"/>
            <w:vAlign w:val="bottom"/>
            <w:tcBorders>
              <w:bottom w:val="single" w:sz="8" w:color="CCEEFF"/>
            </w:tcBorders>
            <w:vMerge w:val="continue"/>
            <w:shd w:val="clear" w:color="auto" w:fill="CCEEFF"/>
          </w:tcPr>
          <w:p>
            <w:pPr>
              <w:spacing w:after="0"/>
              <w:rPr>
                <w:sz w:val="12"/>
                <w:szCs w:val="12"/>
                <w:color w:val="auto"/>
              </w:rPr>
            </w:pP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580" w:type="dxa"/>
            <w:vAlign w:val="bottom"/>
          </w:tcPr>
          <w:p>
            <w:pPr>
              <w:ind w:left="20"/>
              <w:spacing w:after="0" w:line="109" w:lineRule="exact"/>
              <w:rPr>
                <w:sz w:val="20"/>
                <w:szCs w:val="20"/>
                <w:color w:val="auto"/>
              </w:rPr>
            </w:pPr>
            <w:r>
              <w:rPr>
                <w:rFonts w:ascii="Arial" w:cs="Arial" w:eastAsia="Arial" w:hAnsi="Arial"/>
                <w:sz w:val="11"/>
                <w:szCs w:val="11"/>
                <w:color w:val="auto"/>
              </w:rPr>
              <w:t>Derivative valuation adjustment</w:t>
            </w:r>
          </w:p>
        </w:tc>
        <w:tc>
          <w:tcPr>
            <w:tcW w:w="8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spacing w:after="0"/>
              <w:rPr>
                <w:sz w:val="9"/>
                <w:szCs w:val="9"/>
                <w:color w:val="auto"/>
              </w:rPr>
            </w:pPr>
          </w:p>
        </w:tc>
        <w:tc>
          <w:tcPr>
            <w:tcW w:w="2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(81)</w:t>
            </w:r>
          </w:p>
        </w:tc>
        <w:tc>
          <w:tcPr>
            <w:tcW w:w="160" w:type="dxa"/>
            <w:vAlign w:val="bottom"/>
          </w:tcPr>
          <w:p>
            <w:pPr>
              <w:spacing w:after="0"/>
              <w:rPr>
                <w:sz w:val="9"/>
                <w:szCs w:val="9"/>
                <w:color w:val="auto"/>
              </w:rPr>
            </w:pPr>
          </w:p>
        </w:tc>
        <w:tc>
          <w:tcPr>
            <w:tcW w:w="1380" w:type="dxa"/>
            <w:vAlign w:val="bottom"/>
            <w:vMerge w:val="restart"/>
          </w:tcPr>
          <w:p>
            <w:pPr>
              <w:jc w:val="right"/>
              <w:spacing w:after="0"/>
              <w:rPr>
                <w:sz w:val="20"/>
                <w:szCs w:val="20"/>
                <w:color w:val="auto"/>
              </w:rPr>
            </w:pPr>
            <w:r>
              <w:rPr>
                <w:rFonts w:ascii="Arial" w:cs="Arial" w:eastAsia="Arial" w:hAnsi="Arial"/>
                <w:sz w:val="11"/>
                <w:szCs w:val="11"/>
                <w:color w:val="auto"/>
              </w:rPr>
              <w:t>(631)</w:t>
            </w:r>
          </w:p>
        </w:tc>
        <w:tc>
          <w:tcPr>
            <w:tcW w:w="9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7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88</w:t>
            </w:r>
          </w:p>
        </w:tc>
        <w:tc>
          <w:tcPr>
            <w:tcW w:w="12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1"/>
                <w:szCs w:val="11"/>
                <w:color w:val="auto"/>
              </w:rPr>
              <w:t>(624)</w:t>
            </w:r>
          </w:p>
        </w:tc>
        <w:tc>
          <w:tcPr>
            <w:tcW w:w="0" w:type="dxa"/>
            <w:vAlign w:val="bottom"/>
          </w:tcPr>
          <w:p>
            <w:pPr>
              <w:spacing w:after="0"/>
              <w:rPr>
                <w:sz w:val="1"/>
                <w:szCs w:val="1"/>
                <w:color w:val="auto"/>
              </w:rPr>
            </w:pPr>
          </w:p>
        </w:tc>
      </w:tr>
      <w:tr>
        <w:trPr>
          <w:trHeight w:val="155"/>
        </w:trPr>
        <w:tc>
          <w:tcPr>
            <w:tcW w:w="15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and other</w:t>
            </w:r>
          </w:p>
        </w:tc>
        <w:tc>
          <w:tcPr>
            <w:tcW w:w="880" w:type="dxa"/>
            <w:vAlign w:val="bottom"/>
            <w:tcBorders>
              <w:bottom w:val="single" w:sz="8" w:color="auto"/>
            </w:tcBorders>
            <w:vMerge w:val="continue"/>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vMerge w:val="continue"/>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September 30, 2025</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40,989</w:t>
            </w:r>
          </w:p>
        </w:tc>
        <w:tc>
          <w:tcPr>
            <w:tcW w:w="740" w:type="dxa"/>
            <w:vAlign w:val="bottom"/>
            <w:tcBorders>
              <w:bottom w:val="single" w:sz="8" w:color="auto"/>
            </w:tcBorders>
            <w:shd w:val="clear" w:color="auto" w:fill="CCEEFF"/>
          </w:tcPr>
          <w:p>
            <w:pPr>
              <w:jc w:val="right"/>
              <w:ind w:right="586"/>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460,294</w:t>
            </w:r>
          </w:p>
        </w:tc>
        <w:tc>
          <w:tcPr>
            <w:tcW w:w="1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970,435</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(141,298)</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12,326</w:t>
            </w:r>
          </w:p>
        </w:tc>
        <w:tc>
          <w:tcPr>
            <w:tcW w:w="26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(550,174)</w:t>
            </w: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5,709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745,007</w:t>
            </w:r>
          </w:p>
        </w:tc>
        <w:tc>
          <w:tcPr>
            <w:tcW w:w="0" w:type="dxa"/>
            <w:vAlign w:val="bottom"/>
          </w:tcPr>
          <w:p>
            <w:pPr>
              <w:spacing w:after="0"/>
              <w:rPr>
                <w:sz w:val="1"/>
                <w:szCs w:val="1"/>
                <w:color w:val="auto"/>
              </w:rPr>
            </w:pPr>
          </w:p>
        </w:tc>
      </w:tr>
    </w:tbl>
    <w:p>
      <w:pPr>
        <w:spacing w:after="0" w:line="3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69608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ind w:left="660" w:hanging="652"/>
        <w:spacing w:after="0" w:line="286" w:lineRule="auto"/>
        <w:tabs>
          <w:tab w:leader="none" w:pos="655" w:val="left"/>
        </w:tabs>
        <w:numPr>
          <w:ilvl w:val="0"/>
          <w:numId w:val="7"/>
        </w:numPr>
        <w:rPr>
          <w:rFonts w:ascii="Arial" w:cs="Arial" w:eastAsia="Arial" w:hAnsi="Arial"/>
          <w:sz w:val="16"/>
          <w:szCs w:val="16"/>
          <w:color w:val="auto"/>
        </w:rPr>
      </w:pPr>
      <w:r>
        <w:rPr>
          <w:rFonts w:ascii="Arial" w:cs="Arial" w:eastAsia="Arial" w:hAnsi="Arial"/>
          <w:sz w:val="16"/>
          <w:szCs w:val="16"/>
          <w:color w:val="auto"/>
        </w:rPr>
        <w:t>On February 21, 2025, the Company's Board of Directors authorized the Company to repurchase shares up to $250 million (excluding any fees, commissions, taxes or other expenses related to such purchases), which replaces the 2021 authorization.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19. Held for Sale</w:t>
      </w:r>
    </w:p>
    <w:p>
      <w:pPr>
        <w:spacing w:after="0" w:line="2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During the fourth quarter of 2025, we announced plans to commence a strategic review of the Amelia Earhart Drive facility in Salt Lake City. As of December 31, 2025, the Company determined that the Amelia Earhart Drive facility met held-for-sale accounting criteria, and the facility's assets and liabilities were classified as held-for-sale in the consolidated balance sheet. Upon classification as held for sale, the Company ceased depreciation and amortization of the related long-lived assets in accordance with applicable accounting guidance. At the time of the decision, fair value exceeded carrying value and therefore no impairment loss was recorded.</w:t>
      </w:r>
    </w:p>
    <w:p>
      <w:pPr>
        <w:spacing w:after="0" w:line="21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the third quarter of 2026, we determined that we would no longer pursue the previously planned sale of the facility following the conclusion of the strategic review. This decision was made following new business wins, a renegotiated contract for the Boeing 787 program, and amended contract terms with Sikorsky, a Lockheed Martin Company, on the CH-53K program. Upon making this decision, the Company reclassified the assets and liabilities held-for-sale back into their respective line items on the balance sheet. Additionally, the Company resumed depreciation and amortization of the long-lived assets including catch-up on unrecognized expense from earlier in the year. As fair value continues to exceed carrying value, no impairment loss was recorded, and the reclassification was made using carrying value with this catch-up depreciation and amortization.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assets and liabilities classified as held-for-sale at September 30, 2026 and December 31, 2025: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6" w:right="35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97"/>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4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September 30, 2026</w:t>
            </w:r>
          </w:p>
        </w:tc>
        <w:tc>
          <w:tcPr>
            <w:tcW w:w="15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December 31, 2025</w:t>
            </w:r>
          </w:p>
        </w:tc>
      </w:tr>
      <w:tr>
        <w:trPr>
          <w:trHeight w:val="211"/>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receivable, net</w:t>
            </w:r>
          </w:p>
        </w:tc>
        <w:tc>
          <w:tcPr>
            <w:tcW w:w="2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800" w:type="dxa"/>
            <w:vAlign w:val="bottom"/>
            <w:shd w:val="clear" w:color="auto" w:fill="CCEEFF"/>
          </w:tcPr>
          <w:p>
            <w:pPr>
              <w:ind w:left="140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27,159</w:t>
            </w:r>
          </w:p>
        </w:tc>
      </w:tr>
      <w:tr>
        <w:trPr>
          <w:trHeight w:val="216"/>
        </w:trPr>
        <w:tc>
          <w:tcPr>
            <w:tcW w:w="5420" w:type="dxa"/>
            <w:vAlign w:val="bottom"/>
          </w:tcPr>
          <w:p>
            <w:pPr>
              <w:ind w:left="20"/>
              <w:spacing w:after="0"/>
              <w:rPr>
                <w:sz w:val="20"/>
                <w:szCs w:val="20"/>
                <w:color w:val="auto"/>
              </w:rPr>
            </w:pPr>
            <w:r>
              <w:rPr>
                <w:rFonts w:ascii="Arial" w:cs="Arial" w:eastAsia="Arial" w:hAnsi="Arial"/>
                <w:sz w:val="16"/>
                <w:szCs w:val="16"/>
                <w:color w:val="auto"/>
              </w:rPr>
              <w:t>Contract assets, net</w:t>
            </w:r>
          </w:p>
        </w:tc>
        <w:tc>
          <w:tcPr>
            <w:tcW w:w="2440" w:type="dxa"/>
            <w:vAlign w:val="bottom"/>
          </w:tcPr>
          <w:p>
            <w:pPr>
              <w:spacing w:after="0"/>
              <w:rPr>
                <w:sz w:val="18"/>
                <w:szCs w:val="18"/>
                <w:color w:val="auto"/>
              </w:rPr>
            </w:pPr>
          </w:p>
        </w:tc>
        <w:tc>
          <w:tcPr>
            <w:tcW w:w="1800" w:type="dxa"/>
            <w:vAlign w:val="bottom"/>
          </w:tcPr>
          <w:p>
            <w:pPr>
              <w:ind w:left="1400"/>
              <w:spacing w:after="0"/>
              <w:rPr>
                <w:sz w:val="20"/>
                <w:szCs w:val="20"/>
                <w:color w:val="auto"/>
              </w:rPr>
            </w:pPr>
            <w:r>
              <w:rPr>
                <w:rFonts w:ascii="Arial" w:cs="Arial" w:eastAsia="Arial" w:hAnsi="Arial"/>
                <w:sz w:val="16"/>
                <w:szCs w:val="16"/>
                <w:b w:val="1"/>
                <w:bCs w:val="1"/>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68,550</w:t>
            </w:r>
          </w:p>
        </w:tc>
      </w:tr>
      <w:tr>
        <w:trPr>
          <w:trHeight w:val="216"/>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Inventories</w:t>
            </w:r>
          </w:p>
        </w:tc>
        <w:tc>
          <w:tcPr>
            <w:tcW w:w="2440" w:type="dxa"/>
            <w:vAlign w:val="bottom"/>
            <w:shd w:val="clear" w:color="auto" w:fill="CCEEFF"/>
          </w:tcPr>
          <w:p>
            <w:pPr>
              <w:spacing w:after="0"/>
              <w:rPr>
                <w:sz w:val="18"/>
                <w:szCs w:val="18"/>
                <w:color w:val="auto"/>
              </w:rPr>
            </w:pPr>
          </w:p>
        </w:tc>
        <w:tc>
          <w:tcPr>
            <w:tcW w:w="1800" w:type="dxa"/>
            <w:vAlign w:val="bottom"/>
            <w:shd w:val="clear" w:color="auto" w:fill="CCEEFF"/>
          </w:tcPr>
          <w:p>
            <w:pPr>
              <w:ind w:left="1400"/>
              <w:spacing w:after="0"/>
              <w:rPr>
                <w:sz w:val="20"/>
                <w:szCs w:val="20"/>
                <w:color w:val="auto"/>
              </w:rPr>
            </w:pPr>
            <w:r>
              <w:rPr>
                <w:rFonts w:ascii="Arial" w:cs="Arial" w:eastAsia="Arial" w:hAnsi="Arial"/>
                <w:sz w:val="16"/>
                <w:szCs w:val="16"/>
                <w:b w:val="1"/>
                <w:bCs w:val="1"/>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16,422</w:t>
            </w:r>
          </w:p>
        </w:tc>
      </w:tr>
      <w:tr>
        <w:trPr>
          <w:trHeight w:val="216"/>
        </w:trPr>
        <w:tc>
          <w:tcPr>
            <w:tcW w:w="5420" w:type="dxa"/>
            <w:vAlign w:val="bottom"/>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2440" w:type="dxa"/>
            <w:vAlign w:val="bottom"/>
          </w:tcPr>
          <w:p>
            <w:pPr>
              <w:spacing w:after="0"/>
              <w:rPr>
                <w:sz w:val="18"/>
                <w:szCs w:val="18"/>
                <w:color w:val="auto"/>
              </w:rPr>
            </w:pPr>
          </w:p>
        </w:tc>
        <w:tc>
          <w:tcPr>
            <w:tcW w:w="1800" w:type="dxa"/>
            <w:vAlign w:val="bottom"/>
          </w:tcPr>
          <w:p>
            <w:pPr>
              <w:ind w:left="1400"/>
              <w:spacing w:after="0"/>
              <w:rPr>
                <w:sz w:val="20"/>
                <w:szCs w:val="20"/>
                <w:color w:val="auto"/>
              </w:rPr>
            </w:pPr>
            <w:r>
              <w:rPr>
                <w:rFonts w:ascii="Arial" w:cs="Arial" w:eastAsia="Arial" w:hAnsi="Arial"/>
                <w:sz w:val="16"/>
                <w:szCs w:val="16"/>
                <w:b w:val="1"/>
                <w:bCs w:val="1"/>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697</w:t>
            </w:r>
          </w:p>
        </w:tc>
      </w:tr>
      <w:tr>
        <w:trPr>
          <w:trHeight w:val="216"/>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2440" w:type="dxa"/>
            <w:vAlign w:val="bottom"/>
            <w:shd w:val="clear" w:color="auto" w:fill="CCEEFF"/>
          </w:tcPr>
          <w:p>
            <w:pPr>
              <w:spacing w:after="0"/>
              <w:rPr>
                <w:sz w:val="18"/>
                <w:szCs w:val="18"/>
                <w:color w:val="auto"/>
              </w:rPr>
            </w:pPr>
          </w:p>
        </w:tc>
        <w:tc>
          <w:tcPr>
            <w:tcW w:w="1800" w:type="dxa"/>
            <w:vAlign w:val="bottom"/>
            <w:shd w:val="clear" w:color="auto" w:fill="CCEEFF"/>
          </w:tcPr>
          <w:p>
            <w:pPr>
              <w:ind w:left="1400"/>
              <w:spacing w:after="0"/>
              <w:rPr>
                <w:sz w:val="20"/>
                <w:szCs w:val="20"/>
                <w:color w:val="auto"/>
              </w:rPr>
            </w:pPr>
            <w:r>
              <w:rPr>
                <w:rFonts w:ascii="Arial" w:cs="Arial" w:eastAsia="Arial" w:hAnsi="Arial"/>
                <w:sz w:val="16"/>
                <w:szCs w:val="16"/>
                <w:b w:val="1"/>
                <w:bCs w:val="1"/>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93,525</w:t>
            </w:r>
          </w:p>
        </w:tc>
      </w:tr>
      <w:tr>
        <w:trPr>
          <w:trHeight w:val="216"/>
        </w:trPr>
        <w:tc>
          <w:tcPr>
            <w:tcW w:w="5420" w:type="dxa"/>
            <w:vAlign w:val="bottom"/>
          </w:tcPr>
          <w:p>
            <w:pPr>
              <w:ind w:left="20"/>
              <w:spacing w:after="0"/>
              <w:rPr>
                <w:sz w:val="20"/>
                <w:szCs w:val="20"/>
                <w:color w:val="auto"/>
              </w:rPr>
            </w:pPr>
            <w:r>
              <w:rPr>
                <w:rFonts w:ascii="Arial" w:cs="Arial" w:eastAsia="Arial" w:hAnsi="Arial"/>
                <w:sz w:val="16"/>
                <w:szCs w:val="16"/>
                <w:color w:val="auto"/>
              </w:rPr>
              <w:t>Intangibles, net</w:t>
            </w:r>
          </w:p>
        </w:tc>
        <w:tc>
          <w:tcPr>
            <w:tcW w:w="2440" w:type="dxa"/>
            <w:vAlign w:val="bottom"/>
          </w:tcPr>
          <w:p>
            <w:pPr>
              <w:spacing w:after="0"/>
              <w:rPr>
                <w:sz w:val="18"/>
                <w:szCs w:val="18"/>
                <w:color w:val="auto"/>
              </w:rPr>
            </w:pPr>
          </w:p>
        </w:tc>
        <w:tc>
          <w:tcPr>
            <w:tcW w:w="1800" w:type="dxa"/>
            <w:vAlign w:val="bottom"/>
          </w:tcPr>
          <w:p>
            <w:pPr>
              <w:ind w:left="1400"/>
              <w:spacing w:after="0"/>
              <w:rPr>
                <w:sz w:val="20"/>
                <w:szCs w:val="20"/>
                <w:color w:val="auto"/>
              </w:rPr>
            </w:pPr>
            <w:r>
              <w:rPr>
                <w:rFonts w:ascii="Arial" w:cs="Arial" w:eastAsia="Arial" w:hAnsi="Arial"/>
                <w:sz w:val="16"/>
                <w:szCs w:val="16"/>
                <w:b w:val="1"/>
                <w:bCs w:val="1"/>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13,384</w:t>
            </w:r>
          </w:p>
        </w:tc>
      </w:tr>
      <w:tr>
        <w:trPr>
          <w:trHeight w:val="216"/>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440" w:type="dxa"/>
            <w:vAlign w:val="bottom"/>
            <w:shd w:val="clear" w:color="auto" w:fill="CCEEFF"/>
          </w:tcPr>
          <w:p>
            <w:pPr>
              <w:spacing w:after="0"/>
              <w:rPr>
                <w:sz w:val="18"/>
                <w:szCs w:val="18"/>
                <w:color w:val="auto"/>
              </w:rPr>
            </w:pPr>
          </w:p>
        </w:tc>
        <w:tc>
          <w:tcPr>
            <w:tcW w:w="1800" w:type="dxa"/>
            <w:vAlign w:val="bottom"/>
            <w:shd w:val="clear" w:color="auto" w:fill="CCEEFF"/>
          </w:tcPr>
          <w:p>
            <w:pPr>
              <w:ind w:left="1400"/>
              <w:spacing w:after="0"/>
              <w:rPr>
                <w:sz w:val="20"/>
                <w:szCs w:val="20"/>
                <w:color w:val="auto"/>
              </w:rPr>
            </w:pPr>
            <w:r>
              <w:rPr>
                <w:rFonts w:ascii="Arial" w:cs="Arial" w:eastAsia="Arial" w:hAnsi="Arial"/>
                <w:sz w:val="16"/>
                <w:szCs w:val="16"/>
                <w:b w:val="1"/>
                <w:bCs w:val="1"/>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21,829</w:t>
            </w:r>
          </w:p>
        </w:tc>
      </w:tr>
      <w:tr>
        <w:trPr>
          <w:trHeight w:val="216"/>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assets</w:t>
            </w:r>
          </w:p>
        </w:tc>
        <w:tc>
          <w:tcPr>
            <w:tcW w:w="24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ind w:left="1400"/>
              <w:spacing w:after="0"/>
              <w:rPr>
                <w:sz w:val="20"/>
                <w:szCs w:val="20"/>
                <w:color w:val="auto"/>
              </w:rPr>
            </w:pPr>
            <w:r>
              <w:rPr>
                <w:rFonts w:ascii="Arial" w:cs="Arial" w:eastAsia="Arial" w:hAnsi="Arial"/>
                <w:sz w:val="16"/>
                <w:szCs w:val="16"/>
                <w:b w:val="1"/>
                <w:bCs w:val="1"/>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52,217</w:t>
            </w:r>
          </w:p>
        </w:tc>
      </w:tr>
      <w:tr>
        <w:trPr>
          <w:trHeight w:val="210"/>
        </w:trPr>
        <w:tc>
          <w:tcPr>
            <w:tcW w:w="5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assets held for sale</w:t>
            </w:r>
          </w:p>
        </w:tc>
        <w:tc>
          <w:tcPr>
            <w:tcW w:w="2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800" w:type="dxa"/>
            <w:vAlign w:val="bottom"/>
            <w:tcBorders>
              <w:bottom w:val="single" w:sz="8" w:color="auto"/>
            </w:tcBorders>
            <w:shd w:val="clear" w:color="auto" w:fill="CCEEFF"/>
          </w:tcPr>
          <w:p>
            <w:pPr>
              <w:ind w:left="140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293,783</w:t>
            </w:r>
          </w:p>
        </w:tc>
      </w:tr>
      <w:tr>
        <w:trPr>
          <w:trHeight w:val="237"/>
        </w:trPr>
        <w:tc>
          <w:tcPr>
            <w:tcW w:w="54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16"/>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2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800" w:type="dxa"/>
            <w:vAlign w:val="bottom"/>
            <w:shd w:val="clear" w:color="auto" w:fill="CCEEFF"/>
          </w:tcPr>
          <w:p>
            <w:pPr>
              <w:ind w:left="140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16,408</w:t>
            </w:r>
          </w:p>
        </w:tc>
      </w:tr>
      <w:tr>
        <w:trPr>
          <w:trHeight w:val="216"/>
        </w:trPr>
        <w:tc>
          <w:tcPr>
            <w:tcW w:w="5420" w:type="dxa"/>
            <w:vAlign w:val="bottom"/>
          </w:tcPr>
          <w:p>
            <w:pPr>
              <w:ind w:left="20"/>
              <w:spacing w:after="0"/>
              <w:rPr>
                <w:sz w:val="20"/>
                <w:szCs w:val="20"/>
                <w:color w:val="auto"/>
              </w:rPr>
            </w:pPr>
            <w:r>
              <w:rPr>
                <w:rFonts w:ascii="Arial" w:cs="Arial" w:eastAsia="Arial" w:hAnsi="Arial"/>
                <w:sz w:val="16"/>
                <w:szCs w:val="16"/>
                <w:color w:val="auto"/>
              </w:rPr>
              <w:t>Accrued liabilities</w:t>
            </w:r>
          </w:p>
        </w:tc>
        <w:tc>
          <w:tcPr>
            <w:tcW w:w="2440" w:type="dxa"/>
            <w:vAlign w:val="bottom"/>
          </w:tcPr>
          <w:p>
            <w:pPr>
              <w:spacing w:after="0"/>
              <w:rPr>
                <w:sz w:val="18"/>
                <w:szCs w:val="18"/>
                <w:color w:val="auto"/>
              </w:rPr>
            </w:pPr>
          </w:p>
        </w:tc>
        <w:tc>
          <w:tcPr>
            <w:tcW w:w="1800" w:type="dxa"/>
            <w:vAlign w:val="bottom"/>
          </w:tcPr>
          <w:p>
            <w:pPr>
              <w:ind w:left="1400"/>
              <w:spacing w:after="0"/>
              <w:rPr>
                <w:sz w:val="20"/>
                <w:szCs w:val="20"/>
                <w:color w:val="auto"/>
              </w:rPr>
            </w:pPr>
            <w:r>
              <w:rPr>
                <w:rFonts w:ascii="Arial" w:cs="Arial" w:eastAsia="Arial" w:hAnsi="Arial"/>
                <w:sz w:val="16"/>
                <w:szCs w:val="16"/>
                <w:b w:val="1"/>
                <w:bCs w:val="1"/>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115,448</w:t>
            </w:r>
          </w:p>
        </w:tc>
      </w:tr>
      <w:tr>
        <w:trPr>
          <w:trHeight w:val="216"/>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2440" w:type="dxa"/>
            <w:vAlign w:val="bottom"/>
            <w:shd w:val="clear" w:color="auto" w:fill="CCEEFF"/>
          </w:tcPr>
          <w:p>
            <w:pPr>
              <w:spacing w:after="0"/>
              <w:rPr>
                <w:sz w:val="18"/>
                <w:szCs w:val="18"/>
                <w:color w:val="auto"/>
              </w:rPr>
            </w:pPr>
          </w:p>
        </w:tc>
        <w:tc>
          <w:tcPr>
            <w:tcW w:w="1800" w:type="dxa"/>
            <w:vAlign w:val="bottom"/>
            <w:shd w:val="clear" w:color="auto" w:fill="CCEEFF"/>
          </w:tcPr>
          <w:p>
            <w:pPr>
              <w:ind w:left="1400"/>
              <w:spacing w:after="0"/>
              <w:rPr>
                <w:sz w:val="20"/>
                <w:szCs w:val="20"/>
                <w:color w:val="auto"/>
              </w:rPr>
            </w:pPr>
            <w:r>
              <w:rPr>
                <w:rFonts w:ascii="Arial" w:cs="Arial" w:eastAsia="Arial" w:hAnsi="Arial"/>
                <w:sz w:val="16"/>
                <w:szCs w:val="16"/>
                <w:b w:val="1"/>
                <w:bCs w:val="1"/>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59,724</w:t>
            </w:r>
          </w:p>
        </w:tc>
      </w:tr>
      <w:tr>
        <w:trPr>
          <w:trHeight w:val="216"/>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Deferred income taxes</w:t>
            </w:r>
          </w:p>
        </w:tc>
        <w:tc>
          <w:tcPr>
            <w:tcW w:w="24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ind w:left="1400"/>
              <w:spacing w:after="0"/>
              <w:rPr>
                <w:sz w:val="20"/>
                <w:szCs w:val="20"/>
                <w:color w:val="auto"/>
              </w:rPr>
            </w:pPr>
            <w:r>
              <w:rPr>
                <w:rFonts w:ascii="Arial" w:cs="Arial" w:eastAsia="Arial" w:hAnsi="Arial"/>
                <w:sz w:val="16"/>
                <w:szCs w:val="16"/>
                <w:b w:val="1"/>
                <w:bCs w:val="1"/>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11,743</w:t>
            </w:r>
          </w:p>
        </w:tc>
      </w:tr>
      <w:tr>
        <w:trPr>
          <w:trHeight w:val="210"/>
        </w:trPr>
        <w:tc>
          <w:tcPr>
            <w:tcW w:w="5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liabilities held for sale</w:t>
            </w:r>
          </w:p>
        </w:tc>
        <w:tc>
          <w:tcPr>
            <w:tcW w:w="2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800" w:type="dxa"/>
            <w:vAlign w:val="bottom"/>
            <w:tcBorders>
              <w:bottom w:val="single" w:sz="8" w:color="auto"/>
            </w:tcBorders>
            <w:shd w:val="clear" w:color="auto" w:fill="CCEEFF"/>
          </w:tcPr>
          <w:p>
            <w:pPr>
              <w:ind w:left="140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203,323</w:t>
            </w: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 Subsequent Events</w:t>
      </w:r>
    </w:p>
    <w:p>
      <w:pPr>
        <w:spacing w:after="0" w:line="10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evaluated subsequent events through the issuance date of these financial statements in Form 10-Q. No material subsequent events were identified that require disclosure.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Management’s Discussion and Analysis (“MD&amp;A”) is intended to help the reader understand the results of operations and financial condition of the Company. MD&amp;A is provided as a supplement to, and should be read in conjunction with, our Consolidated Financial Statements and the accompanying Notes.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quarterly report and the documents incorporated or deemed to be incorporated by reference in this quarterly report contain statements concerning our future results and performance and other matters that are “forward-looking” statements within the meaning of Section 27A of the Securities Act and Section 21E of the Securities Exchange Act of 1934, as amended (the “Exchange Act”). The words “believe,” “expect,” “anticipate,” “intend,” “estimate,” “project,” "forecast," ”look for,” “will,” “should,” “guidance,” “guide” and similar expressions identify forward-looking statements, which generally are not historical in nature. Because forward-looking statements are subject to certain risks and uncertainties, (including, without limitation, those set forth in the Company’s most recent Annual Report on Form 10-K or prior Quarterly Reports on Form 10-Q) actual results may differ materially from those expressed or implied by such forward-looking statements. These forward-looking statements are qualified in their entirety by the specific cautionary factors identified below and the more detailed risk factor discussions contained in those filings. Investors should not place undue reliance on any forward-looking statement.</w:t>
      </w:r>
    </w:p>
    <w:p>
      <w:pPr>
        <w:spacing w:after="0" w:line="7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There are a number of risks, uncertainties, and other important factors that could cause actual results to differ materially from the forward-looking statements, including, but not limited to:</w:t>
      </w:r>
    </w:p>
    <w:p>
      <w:pPr>
        <w:spacing w:after="0" w:line="45" w:lineRule="exact"/>
        <w:rPr>
          <w:sz w:val="20"/>
          <w:szCs w:val="20"/>
          <w:color w:val="auto"/>
        </w:rPr>
      </w:pPr>
    </w:p>
    <w:p>
      <w:pPr>
        <w:jc w:val="both"/>
        <w:ind w:left="660" w:hanging="328"/>
        <w:spacing w:after="0" w:line="268"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Conditions in the industries in which our Machine Clothing and Albany Engineered Composites segments compete, along with the general risks associated with macroeconomic conditions, including higher interest rates, inflationary pressures, or the effects of another pandemic, for an extended period of time;</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Across the entire Company, increasing labor, raw material, energy, or logistics and costs due to supply chain constraints and inflationary pressures. These challenges have only increased as a result of the ongoing Russia-Ukraine war and the conflict in the Middle East;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Across both segments, potential port strikes could cause additional disruptions to our supply chain;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Harm caused by changes in our relationships or contracts with suppliers and customers;</w:t>
      </w:r>
    </w:p>
    <w:p>
      <w:pPr>
        <w:spacing w:after="0" w:line="117"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Machine Clothing segment, greater than anticipated declines in the demand for publication grades of paper, or lower than anticipated growth in other paper grades;</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Albany Engineered Composites segment, longer-than-expected timeframe for the aerospace industry to utilize existing inventories, and unanticipated reductions in demand, delays, technical difficulties or cancellations in aerospace programs that are expected to generate revenue and drive long-term growth;</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of our Machine Clothing or Albany Engineered Composites segments to create additional production capacity in a timely manner or the occurrence of other manufacturing or supply difficulties (including as a result of geopolitical crises, natural disaster, public health crises and epidemics/pandemics, regulatory or otherwise);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geopolitical conditions impacting countries where the Company does or intends to do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achieve or maintain anticipated profitable growth;</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achieve our strategic initiatives and other goals, including, but not limited to, our sustainability goals;</w:t>
      </w:r>
    </w:p>
    <w:p>
      <w:pPr>
        <w:spacing w:after="0" w:line="117"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Albany Engineered Composites segment, the estimates and expectations based on aircraft production rates provided by Airbus, Boeing and others;</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Albany Engineered Composites segment, risks and uncertainties associated with the successful implementation and ramp up of significant new programs, including the ability to manufacture the products to the detailed specifications required and recover start-up costs and other investments in the programs;</w:t>
      </w:r>
    </w:p>
    <w:p>
      <w:pPr>
        <w:spacing w:after="0" w:line="62"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Albany Engineered Composites segment, risks associated with changes in estimates and assumptions that could result in a decline in program gross margins or turn a profitable program into a loss program;</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impacts from inflation, an economic slowdown or recession and from disruption in capital and credit markets that might impede our access to credit, increase our borrowing costs and impair the financial soundness of our customers and suppliers;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9" w:name="page30"/>
    <w:bookmarkEnd w:id="29"/>
    <w:p>
      <w:pPr>
        <w:ind w:left="660" w:hanging="328"/>
        <w:spacing w:after="0"/>
        <w:tabs>
          <w:tab w:leader="none" w:pos="660" w:val="left"/>
        </w:tabs>
        <w:numPr>
          <w:ilvl w:val="0"/>
          <w:numId w:val="9"/>
        </w:numPr>
        <w:rPr>
          <w:rFonts w:ascii="Arial" w:cs="Arial" w:eastAsia="Arial" w:hAnsi="Arial"/>
          <w:sz w:val="22"/>
          <w:szCs w:val="22"/>
          <w:color w:val="auto"/>
        </w:rPr>
      </w:pPr>
      <w:r>
        <w:rPr>
          <w:rFonts w:ascii="Arial" w:cs="Arial" w:eastAsia="Arial" w:hAnsi="Arial"/>
          <w:sz w:val="18"/>
          <w:szCs w:val="18"/>
          <w:color w:val="auto"/>
        </w:rPr>
        <w:t>Changes in trade policy, tariffs, or import/export restrictions that may significantly and adversely impact our results of operations;</w:t>
      </w:r>
    </w:p>
    <w:p>
      <w:pPr>
        <w:spacing w:after="0" w:line="85" w:lineRule="exact"/>
        <w:rPr>
          <w:rFonts w:ascii="Arial" w:cs="Arial" w:eastAsia="Arial" w:hAnsi="Arial"/>
          <w:sz w:val="22"/>
          <w:szCs w:val="22"/>
          <w:color w:val="auto"/>
        </w:rPr>
      </w:pPr>
    </w:p>
    <w:p>
      <w:pPr>
        <w:ind w:left="660" w:hanging="328"/>
        <w:spacing w:after="0" w:line="28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Expectations regarding our ability to attract, motivate, and retain the workforce necessary to execute our business strategy and other goals;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impacts from fluctuations in foreign currency exchange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Harm caused by customer purchase reductions, payment defaults or contract non-renewal;</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Albany Engineered Composites segment, future funding and compliance risks associated with our contracts with government entities, OEM customers or prime contractors on contracts with governmental agencies;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Costly and disruptive legal disputes and settlements;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levels of indebtedness and capital expenditures;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impacts from changes in tax legislation or challenges to our tax positions;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Cybersecurity incidents or significant computer system compromises or data breaches;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Significant problems with information systems or networks;</w:t>
      </w:r>
    </w:p>
    <w:p>
      <w:pPr>
        <w:spacing w:after="0" w:line="117"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successfully integrate the Heimbach Group companies into our business systems and processes within the expected timeframe or, failure to or delayed realization of anticipated benefits of the acquisition could adversely impact the Company’s business, financial condition and results of operations;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risks and uncertainties detailed in this report and other periodic reports.</w:t>
      </w:r>
    </w:p>
    <w:p>
      <w:pPr>
        <w:spacing w:after="0" w:line="347"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Further information concerning important factors that could cause actual events or results to be materially different from the forward-looking statements can be found in the “Business Environment Overview and Trends” sections of this quarterly report, as well as in the Item 1A-“Risk Factors” section of our most recent Annual Report on Form 10-K. The risk factors enumerated above and in those filings are intended to be meaningful cautionary statements for purposes of the safe harbor provisions of the Private Securities Litigation Reform Act of 1995, and such factors are specifically incorporated by reference herein. Although we believe the expectations reflected in our other forward-looking statements are based on reasonable assumptions, it is not possible to foresee or identify all factors that could have a material and negative impact on our future performance. The forward-looking statements included or incorporated by reference in this report are made on the basis of our assumptions and analyses, as of the time the statements are made, in light of our experience and perception of historical conditions, expected future developments, and other factors believed to be appropriate under the circumstances.</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Except as otherwise required by the federal securities laws, we disclaim any obligations or undertaking to publicly release any updates or revisions to any forward-looking statement contained or incorporated by reference in this report to reflect any change in our expectations with regard thereto or any change in events, conditions, or circumstances on which any such statement is based.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Overview and Trends</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conduct our business under two reportable segments: Machine Clothing (“MC”) and Albany Engineered Composites (“AEC”) each rooted in similar materials sciences know-how that forms a common approach to customer value proposition in design and manufacturability. MC competes on the basis of its deep industry knowledge, customer reputation and customer service and global advanced textile manufacturing capabilities, which has enabled it to develop a robust and market leading product offering that can be tailored to customer-specific requirements. AEC competes on the basis of its innovative technology solutions, extensive composite manufacturing capabilities and capacity that enable it to offer high quality specific part and assembly solutions that achieve its customers’ application performance requirements.</w:t>
      </w:r>
    </w:p>
    <w:p>
      <w:pPr>
        <w:spacing w:after="0" w:line="15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Also, please refer to the Business Environment Overview and Trends in the Management's Discussion and Analysis of Financial Condition and Results of Operations in our Annual Report on Form 10-K for the year ended December 31, 2025. The Annual Report on Form 10-K, along with the Company's other filings, can be found on the Securities and Exchange Commission's website, www.sec.gov, as well as on the Company's website: www.albint.com.</w:t>
      </w:r>
    </w:p>
    <w:p>
      <w:pPr>
        <w:spacing w:after="0" w:line="13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Global, economic, and political conditions, changes in raw material and commodity prices and supply, labor availability and costs, inflation, interest rates, potential changes in U.S. government policy positions, including changes in</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30" w:name="page31"/>
    <w:bookmarkEnd w:id="30"/>
    <w:p>
      <w:pPr>
        <w:jc w:val="both"/>
        <w:spacing w:after="0" w:line="268" w:lineRule="auto"/>
        <w:rPr>
          <w:sz w:val="20"/>
          <w:szCs w:val="20"/>
          <w:color w:val="auto"/>
        </w:rPr>
      </w:pPr>
      <w:r>
        <w:rPr>
          <w:rFonts w:ascii="Arial" w:cs="Arial" w:eastAsia="Arial" w:hAnsi="Arial"/>
          <w:sz w:val="18"/>
          <w:szCs w:val="18"/>
          <w:color w:val="auto"/>
        </w:rPr>
        <w:t>Department of Defense policies or priorities, geopolitical conflicts and strained international relations, U.S. and non-U.S. tax law changes, foreign currency exchange rates, sanctions, tariffs, energy costs and supply, and the impact from natural disasters and weather conditions create uncertainties that could impact our businesses.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Machine Clothing Segment</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MC segment continues to deliver resilient performance, with several areas performing well despite uneven market dynamics. In Asia, softer demand—across Paper Machine Clothing &amp; Engineered Fabrics—continues to contribute to regional pressure. Packaging and Tissue continue to perform well, supported by growth across most regions. Looking ahead to the remainder of 2026, we expect Packaging and Tissue to remain positive contributors, with sales in Europe holding broadly stable, while trajectory in the Americas is impacted by cyclical moderation tied to customer consolidations. Publication grades remained under structural pressure, and the MC segment expects publication grade paper demand to continue declining through 2026 and beyond, offset by growing demand for tissue grade products.</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the MC segment is well-positioned in key markets, with high-quality, low-cost production, substantially lower fixed costs in mature markets, and continued strength in new product development, technical product support, and manufacturing technology. Some of the markets in which MC's products are sold are expected to have volume trends that are in line with global GDP. Despite pricing and demand pressures on revenue growth, the MC segment is expected to improve earnings in the future through technological innovations, manufacturing productivity efficiencies, global footprint optimization, and cost controls.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MC segment has been a significant generator of operating cash inflows for the Company. The Company seeks to maintain the cash-</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generating potential of this business by vigorously using our differentiated and technically superior products to reduce our customers’ total cost of operation while improving their paper quality, and by maintaining lower costs through a continued focus on cost-reduction initiatives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and strategic investment.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Albany Engineered Composites Segment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AEC segment's strategy is to continue to build on its global brand by leveraging its industry leading performance to drive future growth</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through technology differentiation. This includes continued investment in AEC's proprietary 3D-woven technology to accelerate solutions that can be offered across a set of broader applications, and by leveraging AEC's non-3D technology capabilities and capacity, on high-value</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aerospace (both commercial and defense) applications, and other emerging markets such as space and advanced air mobility ("AAM"). The AEC segment provides longer-term growth potential for the Company as it ramps current production programs and captures new commercial and defense opportunities.</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AEC segment (including Albany Safran Composites, LLC (“ASC”), in which our customer SAFRAN Group owns a 10% noncontrolling interest) supplies a number of customers in the aerospace industry. AEC’s largest aerospace customer is the SAFRAN Group ("SAFRAN") and sales to SAFRAN, through ASC, (consisting primarily of fan blades and cases for CFM International’s LEAP engine) accounted for approximately 15% of the Company’s consolidated Net revenues in 2025. The AEC segment, through ASC, also supplies 3D-woven composite fan cases for the GE9X engine. Outside of ASC, the AEC segment also supplies 3D-woven composite vanes for the F-35 Liftfan.</w:t>
      </w:r>
    </w:p>
    <w:p>
      <w:pPr>
        <w:spacing w:after="0" w:line="1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AEC segment's current portfolio of non-3D programs includes components for the CH-53K helicopter, components for the F-35, missile bodies for Lockheed Martin’s JASSM air-to-surface missiles, fuselage components for the Boeing 787 aircraft, vacuum waste tanks for Boeing commercial aircraft and components and structures for other commercial, defense, and space and AAM programs. In 2025, approximately 35% of AEC net revenues were related to U.S. government contracts or programs.</w:t>
      </w:r>
    </w:p>
    <w:p>
      <w:pPr>
        <w:spacing w:after="0" w:line="13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AEC segment is dependent on global supply chains and has experienced disruptions in recent years. In addition, higher inflation levels increased material costs, higher labor rates and other supplier costs that have impacted the AEC segment’s results of operations. The AEC segment attempts to mitigate raw material and supplier costs by entering into long-term supply agreements. However, in some cases, higher raw material and supplier costs adversely impacted certain firm-fixed price programs resulting in lower program gross margins. In addition, as the AEC segment ramps-up larger complex programs, such as those associated with the CH-53 program, it continues to face challenges in staffing and training its workforce to support production rates, which has impacted operational productivity, particularly at its Salt Lake City facility, and contributed to increased labor and scrap costs.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1" w:name="page32"/>
    <w:bookmarkEnd w:id="31"/>
    <w:p>
      <w:pPr>
        <w:ind w:right="40"/>
        <w:spacing w:after="0" w:line="244" w:lineRule="auto"/>
        <w:rPr>
          <w:sz w:val="20"/>
          <w:szCs w:val="20"/>
          <w:color w:val="auto"/>
        </w:rPr>
      </w:pPr>
      <w:r>
        <w:rPr>
          <w:rFonts w:ascii="Arial" w:cs="Arial" w:eastAsia="Arial" w:hAnsi="Arial"/>
          <w:sz w:val="18"/>
          <w:szCs w:val="18"/>
          <w:color w:val="auto"/>
        </w:rPr>
        <w:t>During the fourth quarter of 2025, we announced plans to commence a strategic review of the Amelia Earhart Drive facility in Salt Lake City. In the third quarter of 2026, we determined that we would no longer pursue the previously planned sale of the facility following the conclusion of the strategic review. This decision was made following new business wins, a renegotiated contract for the Boeing 787 program, and amended contract terms with Sikorsky, a Lockheed Martin Company, on the CH-53K program. We continue to engage closely with our customers in connection with the retained operations.</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 and Gross Profit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Consolidated Net revenues and Gross profit: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7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960" w:type="dxa"/>
            <w:vAlign w:val="bottom"/>
            <w:tcBorders>
              <w:top w:val="single" w:sz="8" w:color="auto"/>
              <w:bottom w:val="single" w:sz="8" w:color="auto"/>
            </w:tcBorders>
            <w:gridSpan w:val="3"/>
          </w:tcPr>
          <w:p>
            <w:pPr>
              <w:jc w:val="right"/>
              <w:ind w:right="301"/>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Borders>
              <w:top w:val="single" w:sz="8" w:color="auto"/>
              <w:bottom w:val="single" w:sz="8" w:color="auto"/>
            </w:tcBorders>
          </w:tcPr>
          <w:p>
            <w:pPr>
              <w:spacing w:after="0"/>
              <w:rPr>
                <w:sz w:val="18"/>
                <w:szCs w:val="18"/>
                <w:color w:val="auto"/>
              </w:rPr>
            </w:pPr>
          </w:p>
        </w:tc>
        <w:tc>
          <w:tcPr>
            <w:tcW w:w="2960" w:type="dxa"/>
            <w:vAlign w:val="bottom"/>
            <w:tcBorders>
              <w:top w:val="single" w:sz="8" w:color="auto"/>
              <w:bottom w:val="single" w:sz="8" w:color="auto"/>
            </w:tcBorders>
            <w:gridSpan w:val="3"/>
          </w:tcPr>
          <w:p>
            <w:pPr>
              <w:jc w:val="right"/>
              <w:ind w:right="361"/>
              <w:spacing w:after="0"/>
              <w:rPr>
                <w:sz w:val="20"/>
                <w:szCs w:val="20"/>
                <w:color w:val="auto"/>
              </w:rPr>
            </w:pPr>
            <w:r>
              <w:rPr>
                <w:rFonts w:ascii="Arial" w:cs="Arial" w:eastAsia="Arial" w:hAnsi="Arial"/>
                <w:sz w:val="14"/>
                <w:szCs w:val="14"/>
                <w:b w:val="1"/>
                <w:bCs w:val="1"/>
                <w:color w:val="auto"/>
              </w:rPr>
              <w:t>Nine Months Ended September 30,</w:t>
            </w:r>
          </w:p>
        </w:tc>
      </w:tr>
      <w:tr>
        <w:trPr>
          <w:trHeight w:val="197"/>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2026</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2025</w:t>
            </w: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2026</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2025</w:t>
            </w:r>
          </w:p>
        </w:tc>
      </w:tr>
      <w:tr>
        <w:trPr>
          <w:trHeight w:val="211"/>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360" w:type="dxa"/>
            <w:vAlign w:val="bottom"/>
            <w:shd w:val="clear" w:color="auto" w:fill="CCEEFF"/>
          </w:tcPr>
          <w:p>
            <w:pPr>
              <w:jc w:val="right"/>
              <w:ind w:right="123"/>
              <w:spacing w:after="0"/>
              <w:rPr>
                <w:sz w:val="20"/>
                <w:szCs w:val="20"/>
                <w:color w:val="auto"/>
              </w:rPr>
            </w:pPr>
            <w:r>
              <w:rPr>
                <w:rFonts w:ascii="Arial" w:cs="Arial" w:eastAsia="Arial" w:hAnsi="Arial"/>
                <w:sz w:val="16"/>
                <w:szCs w:val="16"/>
                <w:b w:val="1"/>
                <w:bCs w:val="1"/>
                <w:color w:val="auto"/>
              </w:rPr>
              <w:t>349,539</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261,434</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340" w:type="dxa"/>
            <w:vAlign w:val="bottom"/>
            <w:shd w:val="clear" w:color="auto" w:fill="CCEEFF"/>
          </w:tcPr>
          <w:p>
            <w:pPr>
              <w:jc w:val="right"/>
              <w:ind w:right="143"/>
              <w:spacing w:after="0"/>
              <w:rPr>
                <w:sz w:val="20"/>
                <w:szCs w:val="20"/>
                <w:color w:val="auto"/>
              </w:rPr>
            </w:pPr>
            <w:r>
              <w:rPr>
                <w:rFonts w:ascii="Arial" w:cs="Arial" w:eastAsia="Arial" w:hAnsi="Arial"/>
                <w:sz w:val="16"/>
                <w:szCs w:val="16"/>
                <w:b w:val="1"/>
                <w:bCs w:val="1"/>
                <w:color w:val="auto"/>
              </w:rPr>
              <w:t>990,354</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861,607</w:t>
            </w:r>
          </w:p>
        </w:tc>
      </w:tr>
      <w:tr>
        <w:trPr>
          <w:trHeight w:val="216"/>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b w:val="1"/>
                <w:bCs w:val="1"/>
                <w:color w:val="auto"/>
              </w:rPr>
              <w:t>140,378</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(49,938)</w:t>
            </w: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b w:val="1"/>
                <w:bCs w:val="1"/>
                <w:color w:val="auto"/>
              </w:rPr>
              <w:t>348,073</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144,055</w:t>
            </w:r>
          </w:p>
        </w:tc>
      </w:tr>
      <w:tr>
        <w:trPr>
          <w:trHeight w:val="209"/>
        </w:trPr>
        <w:tc>
          <w:tcPr>
            <w:tcW w:w="4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Gross profit margin</w:t>
            </w:r>
          </w:p>
        </w:tc>
        <w:tc>
          <w:tcPr>
            <w:tcW w:w="2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40.2 %</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2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35.1 %</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16.7 %</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revenues for the three months ended September 30, 2026 increased $88.1 million or 33.7% as compared to the three months ended September 30, 2025, primarily driven by negative CH-53K program adjustments of $46.0 million recorded in the prior year period compared to the reversal of $ 11.6 million of those adjustments in the current year period due to a contract renegotiation resulting in additional transaction price, as well as higher other program activity levels in the AEC segment. This is partially offset by softness in the MC business as a result of reduced activity levels in the Americas region.</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increase in gross profit of $190.3 million for the three months ended September 30, 2026, as compared to the three months ended September 30, 2025, was primarily driven by negative CH-53K program adjustments of $ 147.3 million recorded in the prior year period compared to the reversal of $44.4 million of these adjustments in the current year period due to the contract renegotiation. Additionally, higher AEC sales volume contributed to the increase in gross profit. These increases were partially offset by $11.0 million of catch-up depreciation and amortization recorded in the current year period upon reclassification of the Amelia Earhart Drive assets out of held for sale. Gross profit margin increased to 40.2% from (19.1)% for the three months ended September 30, 2026 and September 30, 2025,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 Comparison</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revenues for the nine months ended September 30, 2026 increased $128.7 million or 14.9% as compared to the nine months ended September 30, 2025, primarily driven by negative CH-53K program adjustments of $54.3 million recorded in the prior year period compared to positive adjustments of $11.6 million in the current year period due to a contract renegotiation resulting in additional transaction price, as well as higher other program activity levels in the AEC segment. This is partially offset by softness in the MC business as a result of reduced activity levels in the Americas region. Additionally, changes in currency translation rates increased comparative segment net revenues by $14.0 million as compared to the prior year.</w:t>
      </w:r>
    </w:p>
    <w:p>
      <w:pPr>
        <w:spacing w:after="0" w:line="15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increase in gross profit of $204.0 million for the nine months ended September 30, 2026, as compared to the nine months ended September 30, 2025, was primarily driven by changes in the estimated profitability of our CH-53K and other long-term contracts recognized in both periods. These adjustments were a negative $157.6 million in the prior year period, primarily related to an estimated loss reserve on CH-53K, compared to a positive $36.3 million in the current year period, primarily related to the CH-53K contract renegotiation. Additionally, higher AEC sales volume contributed to the increase in gross profit. Gross profit margin increased to 35.1% from 16.7% for the nine months ended September 30, 2026 and September 30,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Consolidated Operating expenses by classification:</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76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3000" w:type="dxa"/>
            <w:vAlign w:val="bottom"/>
            <w:tcBorders>
              <w:top w:val="single" w:sz="8" w:color="auto"/>
              <w:bottom w:val="single" w:sz="8" w:color="auto"/>
            </w:tcBorders>
            <w:gridSpan w:val="3"/>
          </w:tcPr>
          <w:p>
            <w:pPr>
              <w:jc w:val="right"/>
              <w:ind w:right="341"/>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Borders>
              <w:top w:val="single" w:sz="8" w:color="auto"/>
              <w:bottom w:val="single" w:sz="8" w:color="auto"/>
            </w:tcBorders>
          </w:tcPr>
          <w:p>
            <w:pPr>
              <w:spacing w:after="0"/>
              <w:rPr>
                <w:sz w:val="18"/>
                <w:szCs w:val="18"/>
                <w:color w:val="auto"/>
              </w:rPr>
            </w:pPr>
          </w:p>
        </w:tc>
        <w:tc>
          <w:tcPr>
            <w:tcW w:w="2920" w:type="dxa"/>
            <w:vAlign w:val="bottom"/>
            <w:tcBorders>
              <w:top w:val="single" w:sz="8" w:color="auto"/>
              <w:bottom w:val="single" w:sz="8" w:color="auto"/>
            </w:tcBorders>
            <w:gridSpan w:val="3"/>
          </w:tcPr>
          <w:p>
            <w:pPr>
              <w:jc w:val="center"/>
              <w:ind w:right="161"/>
              <w:spacing w:after="0"/>
              <w:rPr>
                <w:sz w:val="20"/>
                <w:szCs w:val="20"/>
                <w:color w:val="auto"/>
              </w:rPr>
            </w:pPr>
            <w:r>
              <w:rPr>
                <w:rFonts w:ascii="Arial" w:cs="Arial" w:eastAsia="Arial" w:hAnsi="Arial"/>
                <w:sz w:val="14"/>
                <w:szCs w:val="14"/>
                <w:b w:val="1"/>
                <w:bCs w:val="1"/>
                <w:color w:val="auto"/>
              </w:rPr>
              <w:t>Nine Months Ended September 30,</w:t>
            </w:r>
          </w:p>
        </w:tc>
      </w:tr>
      <w:tr>
        <w:trPr>
          <w:trHeight w:val="197"/>
        </w:trPr>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2026</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2025</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2026</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2025</w:t>
            </w:r>
          </w:p>
        </w:tc>
      </w:tr>
      <w:tr>
        <w:trPr>
          <w:trHeight w:val="210"/>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380" w:type="dxa"/>
            <w:vAlign w:val="bottom"/>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61,501</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51,905</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300" w:type="dxa"/>
            <w:vAlign w:val="bottom"/>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175,868</w:t>
            </w:r>
          </w:p>
        </w:tc>
        <w:tc>
          <w:tcPr>
            <w:tcW w:w="380" w:type="dxa"/>
            <w:vAlign w:val="bottom"/>
            <w:shd w:val="clear" w:color="auto" w:fill="CCEEFF"/>
          </w:tcPr>
          <w:p>
            <w:pPr>
              <w:jc w:val="center"/>
              <w:ind w:right="1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164,219</w:t>
            </w:r>
          </w:p>
        </w:tc>
      </w:tr>
      <w:tr>
        <w:trPr>
          <w:trHeight w:val="216"/>
        </w:trPr>
        <w:tc>
          <w:tcPr>
            <w:tcW w:w="4760" w:type="dxa"/>
            <w:vAlign w:val="bottom"/>
          </w:tcPr>
          <w:p>
            <w:pPr>
              <w:ind w:left="20"/>
              <w:spacing w:after="0"/>
              <w:rPr>
                <w:sz w:val="20"/>
                <w:szCs w:val="20"/>
                <w:color w:val="auto"/>
              </w:rPr>
            </w:pPr>
            <w:r>
              <w:rPr>
                <w:rFonts w:ascii="Arial" w:cs="Arial" w:eastAsia="Arial" w:hAnsi="Arial"/>
                <w:sz w:val="16"/>
                <w:szCs w:val="16"/>
                <w:color w:val="auto"/>
              </w:rPr>
              <w:t>Technical and research expenses</w:t>
            </w:r>
          </w:p>
        </w:tc>
        <w:tc>
          <w:tcPr>
            <w:tcW w:w="260" w:type="dxa"/>
            <w:vAlign w:val="bottom"/>
          </w:tcPr>
          <w:p>
            <w:pPr>
              <w:spacing w:after="0"/>
              <w:rPr>
                <w:sz w:val="18"/>
                <w:szCs w:val="18"/>
                <w:color w:val="auto"/>
              </w:rPr>
            </w:pPr>
          </w:p>
        </w:tc>
        <w:tc>
          <w:tcPr>
            <w:tcW w:w="1380" w:type="dxa"/>
            <w:vAlign w:val="bottom"/>
          </w:tcPr>
          <w:p>
            <w:pPr>
              <w:jc w:val="right"/>
              <w:ind w:right="142"/>
              <w:spacing w:after="0"/>
              <w:rPr>
                <w:sz w:val="20"/>
                <w:szCs w:val="20"/>
                <w:color w:val="auto"/>
              </w:rPr>
            </w:pPr>
            <w:r>
              <w:rPr>
                <w:rFonts w:ascii="Arial" w:cs="Arial" w:eastAsia="Arial" w:hAnsi="Arial"/>
                <w:sz w:val="16"/>
                <w:szCs w:val="16"/>
                <w:b w:val="1"/>
                <w:bCs w:val="1"/>
                <w:color w:val="auto"/>
              </w:rPr>
              <w:t>12,186</w:t>
            </w:r>
          </w:p>
        </w:tc>
        <w:tc>
          <w:tcPr>
            <w:tcW w:w="380" w:type="dxa"/>
            <w:vAlign w:val="bottom"/>
          </w:tcPr>
          <w:p>
            <w:pPr>
              <w:spacing w:after="0"/>
              <w:rPr>
                <w:sz w:val="18"/>
                <w:szCs w:val="18"/>
                <w:color w:val="auto"/>
              </w:rPr>
            </w:pPr>
          </w:p>
        </w:tc>
        <w:tc>
          <w:tcPr>
            <w:tcW w:w="1240" w:type="dxa"/>
            <w:vAlign w:val="bottom"/>
          </w:tcPr>
          <w:p>
            <w:pPr>
              <w:jc w:val="right"/>
              <w:ind w:right="141"/>
              <w:spacing w:after="0"/>
              <w:rPr>
                <w:sz w:val="20"/>
                <w:szCs w:val="20"/>
                <w:color w:val="auto"/>
              </w:rPr>
            </w:pPr>
            <w:r>
              <w:rPr>
                <w:rFonts w:ascii="Arial" w:cs="Arial" w:eastAsia="Arial" w:hAnsi="Arial"/>
                <w:sz w:val="16"/>
                <w:szCs w:val="16"/>
                <w:color w:val="auto"/>
              </w:rPr>
              <w:t>11,467</w:t>
            </w:r>
          </w:p>
        </w:tc>
        <w:tc>
          <w:tcPr>
            <w:tcW w:w="240" w:type="dxa"/>
            <w:vAlign w:val="bottom"/>
          </w:tcPr>
          <w:p>
            <w:pPr>
              <w:spacing w:after="0"/>
              <w:rPr>
                <w:sz w:val="18"/>
                <w:szCs w:val="18"/>
                <w:color w:val="auto"/>
              </w:rPr>
            </w:pPr>
          </w:p>
        </w:tc>
        <w:tc>
          <w:tcPr>
            <w:tcW w:w="1300" w:type="dxa"/>
            <w:vAlign w:val="bottom"/>
          </w:tcPr>
          <w:p>
            <w:pPr>
              <w:jc w:val="right"/>
              <w:ind w:right="142"/>
              <w:spacing w:after="0"/>
              <w:rPr>
                <w:sz w:val="20"/>
                <w:szCs w:val="20"/>
                <w:color w:val="auto"/>
              </w:rPr>
            </w:pPr>
            <w:r>
              <w:rPr>
                <w:rFonts w:ascii="Arial" w:cs="Arial" w:eastAsia="Arial" w:hAnsi="Arial"/>
                <w:sz w:val="16"/>
                <w:szCs w:val="16"/>
                <w:b w:val="1"/>
                <w:bCs w:val="1"/>
                <w:color w:val="auto"/>
              </w:rPr>
              <w:t>36,865</w:t>
            </w:r>
          </w:p>
        </w:tc>
        <w:tc>
          <w:tcPr>
            <w:tcW w:w="380" w:type="dxa"/>
            <w:vAlign w:val="bottom"/>
          </w:tcPr>
          <w:p>
            <w:pPr>
              <w:spacing w:after="0"/>
              <w:rPr>
                <w:sz w:val="18"/>
                <w:szCs w:val="18"/>
                <w:color w:val="auto"/>
              </w:rPr>
            </w:pPr>
          </w:p>
        </w:tc>
        <w:tc>
          <w:tcPr>
            <w:tcW w:w="1240" w:type="dxa"/>
            <w:vAlign w:val="bottom"/>
          </w:tcPr>
          <w:p>
            <w:pPr>
              <w:jc w:val="right"/>
              <w:ind w:right="121"/>
              <w:spacing w:after="0"/>
              <w:rPr>
                <w:sz w:val="20"/>
                <w:szCs w:val="20"/>
                <w:color w:val="auto"/>
              </w:rPr>
            </w:pPr>
            <w:r>
              <w:rPr>
                <w:rFonts w:ascii="Arial" w:cs="Arial" w:eastAsia="Arial" w:hAnsi="Arial"/>
                <w:sz w:val="16"/>
                <w:szCs w:val="16"/>
                <w:color w:val="auto"/>
              </w:rPr>
              <w:t>35,915</w:t>
            </w:r>
          </w:p>
        </w:tc>
      </w:tr>
      <w:tr>
        <w:trPr>
          <w:trHeight w:val="216"/>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expenses, net</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7,293</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3,197</w:t>
            </w: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18,431</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9,895</w:t>
            </w:r>
          </w:p>
        </w:tc>
      </w:tr>
      <w:tr>
        <w:trPr>
          <w:trHeight w:val="209"/>
        </w:trPr>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80,980</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66,569</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231,164</w:t>
            </w:r>
          </w:p>
        </w:tc>
        <w:tc>
          <w:tcPr>
            <w:tcW w:w="38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210,029</w:t>
            </w:r>
          </w:p>
        </w:tc>
      </w:tr>
      <w:tr>
        <w:trPr>
          <w:trHeight w:val="209"/>
        </w:trPr>
        <w:tc>
          <w:tcPr>
            <w:tcW w:w="4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operating expenses as a % of net revenues</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23.2 %</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25.5 %</w:t>
            </w: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23.3 %</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24.4 %</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Consolidated Selling, general and administrative ("SG&amp;A") expenses increased $9.6 million or 18.5% as compared to the three months ended September 30, 2025. The overall changes are primarily the result of costs incurred related to the strategic review of the Amelia Earhart Drive facility and an increase in compensation costs.</w:t>
      </w:r>
    </w:p>
    <w:p>
      <w:pPr>
        <w:spacing w:after="0" w:line="13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Consolidated Technical and research expenses increased by $0.7 million as compared to the three months ended September 30, 2025, driven by increased costs to assist with continued innovation primarily within the AEC segment.</w:t>
      </w:r>
    </w:p>
    <w:p>
      <w:pPr>
        <w:spacing w:after="0" w:line="1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Restructuring expenses, net of $ 7.3 million in the three months ended September 30, 2026, increased by $4.1 million compared to $3.2 million in the three months ended September 30, 2025. The increase in restructuring expenses for the three month period is primarily a result of higher asset transfer costs related to site consolidations and higher consulting costs.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 Comparison</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Consolidated Selling, general and administrative ("SG&amp;A") expenses increased $11.6 million or 7.1% as compared to the nine months ended September 30, 2025. The overall changes are primarily the result of costs incurred related to the strategic review of the Amelia Earhart Drive facility and an increase in compensation costs.</w:t>
      </w:r>
    </w:p>
    <w:p>
      <w:pPr>
        <w:spacing w:after="0" w:line="13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Consolidated Technical and research expenses increased by $1.0 million as compared to the nine months ended September 30, 2025, driven by increased costs to assist with continued innovation primarily within the AEC segment.</w:t>
      </w:r>
    </w:p>
    <w:p>
      <w:pPr>
        <w:spacing w:after="0" w:line="12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Restructuring expenses, net of $18.4 million in the nine months ended September 30, 2026, increased by $8.5 million compared to $9.9 million in the nine months ended September 30, 2025. The increase in restructuring expenses for the nine month period is primarily a result of higher asset transfer costs related to site consolidations and higher consulting costs.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See the Segment Results of Operations section of this Management's Discussion and Analysis of Financial Condition and Results of Operations for significant drivers of Operating income/(loss) for each business segment.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Earnings Items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08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580" w:type="dxa"/>
            <w:vAlign w:val="bottom"/>
            <w:tcBorders>
              <w:top w:val="single" w:sz="8" w:color="auto"/>
              <w:bottom w:val="single" w:sz="8" w:color="auto"/>
            </w:tcBorders>
            <w:gridSpan w:val="3"/>
          </w:tcPr>
          <w:p>
            <w:pPr>
              <w:jc w:val="right"/>
              <w:ind w:right="41"/>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Borders>
              <w:top w:val="single" w:sz="8" w:color="auto"/>
              <w:bottom w:val="single" w:sz="8" w:color="auto"/>
            </w:tcBorders>
          </w:tcPr>
          <w:p>
            <w:pPr>
              <w:spacing w:after="0"/>
              <w:rPr>
                <w:sz w:val="18"/>
                <w:szCs w:val="18"/>
                <w:color w:val="auto"/>
              </w:rPr>
            </w:pPr>
          </w:p>
        </w:tc>
        <w:tc>
          <w:tcPr>
            <w:tcW w:w="3140" w:type="dxa"/>
            <w:vAlign w:val="bottom"/>
            <w:tcBorders>
              <w:top w:val="single" w:sz="8" w:color="auto"/>
              <w:bottom w:val="single" w:sz="8" w:color="auto"/>
            </w:tcBorders>
            <w:gridSpan w:val="3"/>
          </w:tcPr>
          <w:p>
            <w:pPr>
              <w:jc w:val="right"/>
              <w:ind w:right="481"/>
              <w:spacing w:after="0"/>
              <w:rPr>
                <w:sz w:val="20"/>
                <w:szCs w:val="20"/>
                <w:color w:val="auto"/>
              </w:rPr>
            </w:pPr>
            <w:r>
              <w:rPr>
                <w:rFonts w:ascii="Arial" w:cs="Arial" w:eastAsia="Arial" w:hAnsi="Arial"/>
                <w:sz w:val="14"/>
                <w:szCs w:val="14"/>
                <w:b w:val="1"/>
                <w:bCs w:val="1"/>
                <w:color w:val="auto"/>
              </w:rPr>
              <w:t>Nine Months Ended September 30,</w:t>
            </w:r>
          </w:p>
        </w:tc>
      </w:tr>
      <w:tr>
        <w:trPr>
          <w:trHeight w:val="197"/>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2026</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42"/>
              <w:spacing w:after="0"/>
              <w:rPr>
                <w:sz w:val="20"/>
                <w:szCs w:val="20"/>
                <w:color w:val="auto"/>
              </w:rPr>
            </w:pPr>
            <w:r>
              <w:rPr>
                <w:rFonts w:ascii="Arial" w:cs="Arial" w:eastAsia="Arial" w:hAnsi="Arial"/>
                <w:sz w:val="14"/>
                <w:szCs w:val="14"/>
                <w:b w:val="1"/>
                <w:bCs w:val="1"/>
                <w:color w:val="auto"/>
              </w:rPr>
              <w:t>2026</w:t>
            </w: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41"/>
              <w:spacing w:after="0"/>
              <w:rPr>
                <w:sz w:val="20"/>
                <w:szCs w:val="20"/>
                <w:color w:val="auto"/>
              </w:rPr>
            </w:pPr>
            <w:r>
              <w:rPr>
                <w:rFonts w:ascii="Arial" w:cs="Arial" w:eastAsia="Arial" w:hAnsi="Arial"/>
                <w:sz w:val="14"/>
                <w:szCs w:val="14"/>
                <w:b w:val="1"/>
                <w:bCs w:val="1"/>
                <w:color w:val="auto"/>
              </w:rPr>
              <w:t>2025</w:t>
            </w:r>
          </w:p>
        </w:tc>
      </w:tr>
      <w:tr>
        <w:trPr>
          <w:trHeight w:val="210"/>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5,337</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5,897</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40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16,872</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14,702</w:t>
            </w:r>
          </w:p>
        </w:tc>
      </w:tr>
      <w:tr>
        <w:trPr>
          <w:trHeight w:val="216"/>
        </w:trPr>
        <w:tc>
          <w:tcPr>
            <w:tcW w:w="5080" w:type="dxa"/>
            <w:vAlign w:val="bottom"/>
          </w:tcPr>
          <w:p>
            <w:pPr>
              <w:ind w:left="20"/>
              <w:spacing w:after="0"/>
              <w:rPr>
                <w:sz w:val="20"/>
                <w:szCs w:val="20"/>
                <w:color w:val="auto"/>
              </w:rPr>
            </w:pPr>
            <w:r>
              <w:rPr>
                <w:rFonts w:ascii="Arial" w:cs="Arial" w:eastAsia="Arial" w:hAnsi="Arial"/>
                <w:sz w:val="16"/>
                <w:szCs w:val="16"/>
                <w:color w:val="auto"/>
              </w:rPr>
              <w:t>Other (income)/expense, net</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(1,727)</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(347)</w:t>
            </w:r>
          </w:p>
        </w:tc>
        <w:tc>
          <w:tcPr>
            <w:tcW w:w="3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(4,881)</w:t>
            </w:r>
          </w:p>
        </w:tc>
        <w:tc>
          <w:tcPr>
            <w:tcW w:w="40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4,170</w:t>
            </w:r>
          </w:p>
        </w:tc>
      </w:tr>
      <w:tr>
        <w:trPr>
          <w:trHeight w:val="216"/>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13,902</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(24,419)</w:t>
            </w: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29,879</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(13,889)</w:t>
            </w:r>
          </w:p>
        </w:tc>
      </w:tr>
      <w:tr>
        <w:trPr>
          <w:trHeight w:val="223"/>
        </w:trPr>
        <w:tc>
          <w:tcPr>
            <w:tcW w:w="5080" w:type="dxa"/>
            <w:vAlign w:val="bottom"/>
          </w:tcPr>
          <w:p>
            <w:pPr>
              <w:ind w:left="20"/>
              <w:spacing w:after="0"/>
              <w:rPr>
                <w:sz w:val="20"/>
                <w:szCs w:val="20"/>
                <w:color w:val="auto"/>
              </w:rPr>
            </w:pPr>
            <w:r>
              <w:rPr>
                <w:rFonts w:ascii="Arial" w:cs="Arial" w:eastAsia="Arial" w:hAnsi="Arial"/>
                <w:sz w:val="16"/>
                <w:szCs w:val="16"/>
                <w:color w:val="auto"/>
              </w:rPr>
              <w:t>Net income attributable to the noncontrolling interest</w:t>
            </w:r>
          </w:p>
        </w:tc>
        <w:tc>
          <w:tcPr>
            <w:tcW w:w="100" w:type="dxa"/>
            <w:vAlign w:val="bottom"/>
          </w:tcPr>
          <w:p>
            <w:pPr>
              <w:spacing w:after="0"/>
              <w:rPr>
                <w:sz w:val="19"/>
                <w:szCs w:val="19"/>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b w:val="1"/>
                <w:bCs w:val="1"/>
                <w:color w:val="auto"/>
              </w:rPr>
              <w:t>189</w:t>
            </w:r>
          </w:p>
        </w:tc>
        <w:tc>
          <w:tcPr>
            <w:tcW w:w="30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122</w:t>
            </w:r>
          </w:p>
        </w:tc>
        <w:tc>
          <w:tcPr>
            <w:tcW w:w="340" w:type="dxa"/>
            <w:vAlign w:val="bottom"/>
          </w:tcPr>
          <w:p>
            <w:pPr>
              <w:spacing w:after="0"/>
              <w:rPr>
                <w:sz w:val="19"/>
                <w:szCs w:val="19"/>
                <w:color w:val="auto"/>
              </w:rPr>
            </w:pPr>
          </w:p>
        </w:tc>
        <w:tc>
          <w:tcPr>
            <w:tcW w:w="1400" w:type="dxa"/>
            <w:vAlign w:val="bottom"/>
          </w:tcPr>
          <w:p>
            <w:pPr>
              <w:jc w:val="right"/>
              <w:ind w:right="2"/>
              <w:spacing w:after="0"/>
              <w:rPr>
                <w:sz w:val="20"/>
                <w:szCs w:val="20"/>
                <w:color w:val="auto"/>
              </w:rPr>
            </w:pPr>
            <w:r>
              <w:rPr>
                <w:rFonts w:ascii="Arial" w:cs="Arial" w:eastAsia="Arial" w:hAnsi="Arial"/>
                <w:sz w:val="16"/>
                <w:szCs w:val="16"/>
                <w:b w:val="1"/>
                <w:bCs w:val="1"/>
                <w:color w:val="auto"/>
              </w:rPr>
              <w:t>647</w:t>
            </w:r>
          </w:p>
        </w:tc>
        <w:tc>
          <w:tcPr>
            <w:tcW w:w="400" w:type="dxa"/>
            <w:vAlign w:val="bottom"/>
          </w:tcPr>
          <w:p>
            <w:pPr>
              <w:spacing w:after="0"/>
              <w:rPr>
                <w:sz w:val="19"/>
                <w:szCs w:val="19"/>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265</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0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Interest expense, net, increased $2.2 million as compared to the nine months ended September 30, 2025 due to higher average debt balances as well as a lower amount of interest income earned on cash equivalents during the current year.</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Other (Income)/Expense, net</w:t>
      </w:r>
    </w:p>
    <w:p>
      <w:pPr>
        <w:spacing w:after="0" w:line="1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Other (income)/expense, net, included foreign currency related activity which resulted in gains of $2.1 million and $4.8 million in the three and nine months ended September 30, 2026, as compared to gains of $1.1 million and losses of $7.8 million in the same periods last year. These changes were primarily the result of unrealized gains and losses on intercompany loans. In addition, changes in the fair value of derivative instruments included gains of $0.1 million and $ 1.6 million in the three and nine months ended September 30, 2026, as compared to gains of $0.1 million and $3.4 million for the three and nine months ended September 30, 2025. Unrealized gains and losses on both derivative instruments and intercompany loans were driven by currency rate movements, most notably the Brazilian Real and British Pound Sterling. Components of net periodic pension and postretirement costs other than service costs constituted expenses of $ 1.5 million and $4.4 million in the three and nine months ended September 30, 2026, as compared to expenses of $1.0 million for the three months ended September 30, 2025 and $1.3 million for the nine months ended September 30, 2025. See </w:t>
      </w:r>
      <w:r>
        <w:rPr>
          <w:rFonts w:ascii="Arial" w:cs="Arial" w:eastAsia="Arial" w:hAnsi="Arial"/>
          <w:sz w:val="18"/>
          <w:szCs w:val="18"/>
          <w:i w:val="1"/>
          <w:iCs w:val="1"/>
          <w:color w:val="auto"/>
        </w:rPr>
        <w:t>Note 6, Other (Income)/Expense, net,</w:t>
      </w:r>
      <w:r>
        <w:rPr>
          <w:rFonts w:ascii="Arial" w:cs="Arial" w:eastAsia="Arial" w:hAnsi="Arial"/>
          <w:sz w:val="18"/>
          <w:szCs w:val="18"/>
          <w:color w:val="auto"/>
        </w:rPr>
        <w:t xml:space="preserve"> in the Notes to the Consolidated Financial Statements in Item 1, which is incorporated herein by reference.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Income Tax Rate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40" w:type="dxa"/>
            <w:vAlign w:val="bottom"/>
            <w:tcBorders>
              <w:top w:val="single" w:sz="8" w:color="auto"/>
            </w:tcBorders>
          </w:tcPr>
          <w:p>
            <w:pPr>
              <w:spacing w:after="0"/>
              <w:rPr>
                <w:sz w:val="18"/>
                <w:szCs w:val="18"/>
                <w:color w:val="auto"/>
              </w:rPr>
            </w:pPr>
          </w:p>
        </w:tc>
        <w:tc>
          <w:tcPr>
            <w:tcW w:w="2980" w:type="dxa"/>
            <w:vAlign w:val="bottom"/>
            <w:tcBorders>
              <w:top w:val="single" w:sz="8" w:color="auto"/>
              <w:bottom w:val="single" w:sz="8" w:color="auto"/>
            </w:tcBorders>
            <w:gridSpan w:val="3"/>
          </w:tcPr>
          <w:p>
            <w:pPr>
              <w:jc w:val="right"/>
              <w:ind w:right="244"/>
              <w:spacing w:after="0"/>
              <w:rPr>
                <w:sz w:val="20"/>
                <w:szCs w:val="20"/>
                <w:color w:val="auto"/>
              </w:rPr>
            </w:pPr>
            <w:r>
              <w:rPr>
                <w:rFonts w:ascii="Arial" w:cs="Arial" w:eastAsia="Arial" w:hAnsi="Arial"/>
                <w:sz w:val="14"/>
                <w:szCs w:val="14"/>
                <w:b w:val="1"/>
                <w:bCs w:val="1"/>
                <w:color w:val="auto"/>
              </w:rPr>
              <w:t>Three months ended September 30,</w:t>
            </w:r>
          </w:p>
        </w:tc>
        <w:tc>
          <w:tcPr>
            <w:tcW w:w="2740" w:type="dxa"/>
            <w:vAlign w:val="bottom"/>
            <w:tcBorders>
              <w:top w:val="single" w:sz="8" w:color="auto"/>
              <w:bottom w:val="single" w:sz="8" w:color="auto"/>
            </w:tcBorders>
            <w:gridSpan w:val="2"/>
          </w:tcPr>
          <w:p>
            <w:pPr>
              <w:jc w:val="right"/>
              <w:ind w:right="164"/>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6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2026</w:t>
            </w:r>
          </w:p>
        </w:tc>
        <w:tc>
          <w:tcPr>
            <w:tcW w:w="8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b w:val="1"/>
                <w:bCs w:val="1"/>
                <w:color w:val="auto"/>
              </w:rPr>
              <w:t>2025</w:t>
            </w:r>
          </w:p>
        </w:tc>
        <w:tc>
          <w:tcPr>
            <w:tcW w:w="1580" w:type="dxa"/>
            <w:vAlign w:val="bottom"/>
            <w:tcBorders>
              <w:bottom w:val="single" w:sz="8" w:color="auto"/>
            </w:tcBorders>
          </w:tcPr>
          <w:p>
            <w:pPr>
              <w:jc w:val="right"/>
              <w:ind w:right="745"/>
              <w:spacing w:after="0"/>
              <w:rPr>
                <w:sz w:val="20"/>
                <w:szCs w:val="20"/>
                <w:color w:val="auto"/>
              </w:rPr>
            </w:pPr>
            <w:r>
              <w:rPr>
                <w:rFonts w:ascii="Arial" w:cs="Arial" w:eastAsia="Arial" w:hAnsi="Arial"/>
                <w:sz w:val="14"/>
                <w:szCs w:val="14"/>
                <w:b w:val="1"/>
                <w:bCs w:val="1"/>
                <w:color w:val="auto"/>
              </w:rPr>
              <w:t>2026</w:t>
            </w:r>
          </w:p>
        </w:tc>
        <w:tc>
          <w:tcPr>
            <w:tcW w:w="116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2025</w:t>
            </w:r>
          </w:p>
        </w:tc>
      </w:tr>
      <w:tr>
        <w:trPr>
          <w:trHeight w:val="224"/>
        </w:trPr>
        <w:tc>
          <w:tcPr>
            <w:tcW w:w="6140" w:type="dxa"/>
            <w:vAlign w:val="bottom"/>
            <w:gridSpan w:val="2"/>
            <w:shd w:val="clear" w:color="auto" w:fill="CCEEFF"/>
          </w:tcPr>
          <w:p>
            <w:pPr>
              <w:jc w:val="right"/>
              <w:ind w:right="4068"/>
              <w:spacing w:after="0"/>
              <w:rPr>
                <w:sz w:val="20"/>
                <w:szCs w:val="20"/>
                <w:color w:val="auto"/>
              </w:rPr>
            </w:pPr>
            <w:r>
              <w:rPr>
                <w:rFonts w:ascii="Arial" w:cs="Arial" w:eastAsia="Arial" w:hAnsi="Arial"/>
                <w:sz w:val="18"/>
                <w:szCs w:val="18"/>
                <w:color w:val="auto"/>
              </w:rPr>
              <w:t>Effective income tax rate</w:t>
            </w:r>
          </w:p>
        </w:tc>
        <w:tc>
          <w:tcPr>
            <w:tcW w:w="80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24.9 %</w:t>
            </w:r>
          </w:p>
        </w:tc>
        <w:tc>
          <w:tcPr>
            <w:tcW w:w="128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20.0 %</w:t>
            </w:r>
          </w:p>
        </w:tc>
        <w:tc>
          <w:tcPr>
            <w:tcW w:w="1580" w:type="dxa"/>
            <w:vAlign w:val="bottom"/>
            <w:shd w:val="clear" w:color="auto" w:fill="CCEEFF"/>
          </w:tcPr>
          <w:p>
            <w:pPr>
              <w:jc w:val="right"/>
              <w:ind w:right="205"/>
              <w:spacing w:after="0"/>
              <w:rPr>
                <w:sz w:val="20"/>
                <w:szCs w:val="20"/>
                <w:color w:val="auto"/>
              </w:rPr>
            </w:pPr>
            <w:r>
              <w:rPr>
                <w:rFonts w:ascii="Arial" w:cs="Arial" w:eastAsia="Arial" w:hAnsi="Arial"/>
                <w:sz w:val="16"/>
                <w:szCs w:val="16"/>
                <w:b w:val="1"/>
                <w:bCs w:val="1"/>
                <w:color w:val="auto"/>
              </w:rPr>
              <w:t>28.5 %</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16.4 %</w:t>
            </w:r>
          </w:p>
        </w:tc>
      </w:tr>
    </w:tbl>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operations that constitute a taxable presence in 22 countries outside of the United States. The majority of these countries had income tax rates that were above the United States federal tax rate of 21 percent during the periods reported. The jurisdictional location of earnings is a significant component of our effective tax rate each year. The rate impact of this component is influenced by the specific location of non-U.S. earnings and the level of our total earnings. From period to period, the jurisdictional mix of earnings can vary as a result of operating fluctuations in the normal course of business, as well as the extent and location of other income and expense items, such as pension settlement and restructuring charges.</w:t>
      </w:r>
    </w:p>
    <w:p>
      <w:pPr>
        <w:spacing w:after="0" w:line="7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The tax rate is affected by recurring items, such as the income tax rate in the U.S. and non-U.S. jurisdictions and the mix of pre-tax income earned in those jurisdictions. The tax rate is also affected by U.S. tax costs on foreign pre-tax earnings, and by discrete items that may occur in any given year but are not consistent from year to year. The Company’s effective tax rate for the nine months ended September 30, 2026 was 28.5%, compared to 16.4% for the same period in 2025, primarily due to the Company being in a loss position in prior year. For more information, see </w:t>
      </w:r>
      <w:r>
        <w:rPr>
          <w:rFonts w:ascii="Arial" w:cs="Arial" w:eastAsia="Arial" w:hAnsi="Arial"/>
          <w:sz w:val="18"/>
          <w:szCs w:val="18"/>
          <w:i w:val="1"/>
          <w:iCs w:val="1"/>
          <w:color w:val="auto"/>
        </w:rPr>
        <w:t>Note 7, Income Taxes,</w:t>
      </w:r>
      <w:r>
        <w:rPr>
          <w:rFonts w:ascii="Arial" w:cs="Arial" w:eastAsia="Arial" w:hAnsi="Arial"/>
          <w:sz w:val="18"/>
          <w:szCs w:val="18"/>
          <w:color w:val="auto"/>
        </w:rPr>
        <w:t xml:space="preserve"> in the Notes to the Consolidated Financial Statements in Item 1, which is incorporated herein by reference.</w:t>
      </w:r>
    </w:p>
    <w:p>
      <w:pPr>
        <w:spacing w:after="0" w:line="7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Organization for Economic Co-operation and Development has issued Pillar Two model rules introducing a new global minimum tax of 15 percent effective on January 1, 2024. The U.S. has not adopted the Pillar Two rules; however, various other governments around the world are enacting legislation. As currently designed, Pillar Two will ultimately apply to our worldwide operations. Certain foreign subsidiaries subject to the Pillar Two regime file reports to comply with locally enacted guidance. On January 1, 2026, the Pillar Two Side-by-Side (SbS) Safe Harbor agreement became effective, and the US is a Qualified SbS Regime. Therefore, a qualified US-headquartered multinational corporation may elect the SbS Safe Harbor and be exempt from minimum top-up tax. AIC intends to make the election. We do not expect the Pillar Two rules to materially increase our global tax costs in 2026, though uncertainty remains as the rules develop. We will continue to monitor U.S. and global legislative action related to Pillar Two for potential impacts.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Machine Clothing Segment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A summary of MC's selected financial results is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66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3020" w:type="dxa"/>
            <w:vAlign w:val="bottom"/>
            <w:tcBorders>
              <w:top w:val="single" w:sz="8" w:color="auto"/>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Borders>
              <w:top w:val="single" w:sz="8" w:color="auto"/>
              <w:bottom w:val="single" w:sz="8" w:color="auto"/>
            </w:tcBorders>
          </w:tcPr>
          <w:p>
            <w:pPr>
              <w:spacing w:after="0"/>
              <w:rPr>
                <w:sz w:val="18"/>
                <w:szCs w:val="18"/>
                <w:color w:val="auto"/>
              </w:rPr>
            </w:pPr>
          </w:p>
        </w:tc>
        <w:tc>
          <w:tcPr>
            <w:tcW w:w="3000" w:type="dxa"/>
            <w:vAlign w:val="bottom"/>
            <w:tcBorders>
              <w:top w:val="single" w:sz="8" w:color="auto"/>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Nine Months Ended September 30,</w:t>
            </w:r>
          </w:p>
        </w:tc>
      </w:tr>
      <w:tr>
        <w:trPr>
          <w:trHeight w:val="197"/>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2026</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2026</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2025</w:t>
            </w:r>
          </w:p>
        </w:tc>
      </w:tr>
      <w:tr>
        <w:trPr>
          <w:trHeight w:val="211"/>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380" w:type="dxa"/>
            <w:vAlign w:val="bottom"/>
            <w:shd w:val="clear" w:color="auto" w:fill="CCEEFF"/>
          </w:tcPr>
          <w:p>
            <w:pPr>
              <w:jc w:val="right"/>
              <w:ind w:right="121"/>
              <w:spacing w:after="0"/>
              <w:rPr>
                <w:sz w:val="20"/>
                <w:szCs w:val="20"/>
                <w:color w:val="auto"/>
              </w:rPr>
            </w:pPr>
            <w:r>
              <w:rPr>
                <w:rFonts w:ascii="Arial" w:cs="Arial" w:eastAsia="Arial" w:hAnsi="Arial"/>
                <w:sz w:val="16"/>
                <w:szCs w:val="16"/>
                <w:b w:val="1"/>
                <w:bCs w:val="1"/>
                <w:color w:val="auto"/>
              </w:rPr>
              <w:t>169,802</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174,950</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36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514,464</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530,573</w:t>
            </w:r>
          </w:p>
        </w:tc>
      </w:tr>
      <w:tr>
        <w:trPr>
          <w:trHeight w:val="216"/>
        </w:trPr>
        <w:tc>
          <w:tcPr>
            <w:tcW w:w="466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60" w:type="dxa"/>
            <w:vAlign w:val="bottom"/>
          </w:tcPr>
          <w:p>
            <w:pPr>
              <w:spacing w:after="0"/>
              <w:rPr>
                <w:sz w:val="18"/>
                <w:szCs w:val="18"/>
                <w:color w:val="auto"/>
              </w:rPr>
            </w:pPr>
          </w:p>
        </w:tc>
        <w:tc>
          <w:tcPr>
            <w:tcW w:w="1380" w:type="dxa"/>
            <w:vAlign w:val="bottom"/>
          </w:tcPr>
          <w:p>
            <w:pPr>
              <w:jc w:val="right"/>
              <w:ind w:right="121"/>
              <w:spacing w:after="0"/>
              <w:rPr>
                <w:sz w:val="20"/>
                <w:szCs w:val="20"/>
                <w:color w:val="auto"/>
              </w:rPr>
            </w:pPr>
            <w:r>
              <w:rPr>
                <w:rFonts w:ascii="Arial" w:cs="Arial" w:eastAsia="Arial" w:hAnsi="Arial"/>
                <w:sz w:val="16"/>
                <w:szCs w:val="16"/>
                <w:b w:val="1"/>
                <w:bCs w:val="1"/>
                <w:color w:val="auto"/>
              </w:rPr>
              <w:t>75,368</w:t>
            </w:r>
          </w:p>
        </w:tc>
        <w:tc>
          <w:tcPr>
            <w:tcW w:w="380" w:type="dxa"/>
            <w:vAlign w:val="bottom"/>
          </w:tcPr>
          <w:p>
            <w:pPr>
              <w:spacing w:after="0"/>
              <w:rPr>
                <w:sz w:val="18"/>
                <w:szCs w:val="18"/>
                <w:color w:val="auto"/>
              </w:rPr>
            </w:pP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82,070</w:t>
            </w:r>
          </w:p>
        </w:tc>
        <w:tc>
          <w:tcPr>
            <w:tcW w:w="300" w:type="dxa"/>
            <w:vAlign w:val="bottom"/>
          </w:tcPr>
          <w:p>
            <w:pPr>
              <w:spacing w:after="0"/>
              <w:rPr>
                <w:sz w:val="18"/>
                <w:szCs w:val="18"/>
                <w:color w:val="auto"/>
              </w:rPr>
            </w:pPr>
          </w:p>
        </w:tc>
        <w:tc>
          <w:tcPr>
            <w:tcW w:w="1360" w:type="dxa"/>
            <w:vAlign w:val="bottom"/>
          </w:tcPr>
          <w:p>
            <w:pPr>
              <w:jc w:val="right"/>
              <w:ind w:right="141"/>
              <w:spacing w:after="0"/>
              <w:rPr>
                <w:sz w:val="20"/>
                <w:szCs w:val="20"/>
                <w:color w:val="auto"/>
              </w:rPr>
            </w:pPr>
            <w:r>
              <w:rPr>
                <w:rFonts w:ascii="Arial" w:cs="Arial" w:eastAsia="Arial" w:hAnsi="Arial"/>
                <w:sz w:val="16"/>
                <w:szCs w:val="16"/>
                <w:b w:val="1"/>
                <w:bCs w:val="1"/>
                <w:color w:val="auto"/>
              </w:rPr>
              <w:t>231,377</w:t>
            </w:r>
          </w:p>
        </w:tc>
        <w:tc>
          <w:tcPr>
            <w:tcW w:w="380" w:type="dxa"/>
            <w:vAlign w:val="bottom"/>
          </w:tcPr>
          <w:p>
            <w:pPr>
              <w:spacing w:after="0"/>
              <w:rPr>
                <w:sz w:val="18"/>
                <w:szCs w:val="18"/>
                <w:color w:val="auto"/>
              </w:rPr>
            </w:pP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245,731</w:t>
            </w:r>
          </w:p>
        </w:tc>
      </w:tr>
      <w:tr>
        <w:trPr>
          <w:trHeight w:val="216"/>
        </w:trPr>
        <w:tc>
          <w:tcPr>
            <w:tcW w:w="4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 of net revenues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44.4 %</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46.9 %</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45.0 %</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46.3 %</w:t>
            </w:r>
          </w:p>
        </w:tc>
      </w:tr>
      <w:tr>
        <w:trPr>
          <w:trHeight w:val="216"/>
        </w:trPr>
        <w:tc>
          <w:tcPr>
            <w:tcW w:w="4660" w:type="dxa"/>
            <w:vAlign w:val="bottom"/>
          </w:tcPr>
          <w:p>
            <w:pPr>
              <w:ind w:left="20"/>
              <w:spacing w:after="0"/>
              <w:rPr>
                <w:sz w:val="20"/>
                <w:szCs w:val="20"/>
                <w:color w:val="auto"/>
              </w:rPr>
            </w:pPr>
            <w:r>
              <w:rPr>
                <w:rFonts w:ascii="Arial" w:cs="Arial" w:eastAsia="Arial" w:hAnsi="Arial"/>
                <w:sz w:val="16"/>
                <w:szCs w:val="16"/>
                <w:color w:val="auto"/>
              </w:rPr>
              <w:t>SG&amp;A expenses</w:t>
            </w:r>
          </w:p>
        </w:tc>
        <w:tc>
          <w:tcPr>
            <w:tcW w:w="260" w:type="dxa"/>
            <w:vAlign w:val="bottom"/>
          </w:tcPr>
          <w:p>
            <w:pPr>
              <w:spacing w:after="0"/>
              <w:rPr>
                <w:sz w:val="18"/>
                <w:szCs w:val="18"/>
                <w:color w:val="auto"/>
              </w:rPr>
            </w:pPr>
          </w:p>
        </w:tc>
        <w:tc>
          <w:tcPr>
            <w:tcW w:w="1380" w:type="dxa"/>
            <w:vAlign w:val="bottom"/>
          </w:tcPr>
          <w:p>
            <w:pPr>
              <w:jc w:val="right"/>
              <w:ind w:right="121"/>
              <w:spacing w:after="0"/>
              <w:rPr>
                <w:sz w:val="20"/>
                <w:szCs w:val="20"/>
                <w:color w:val="auto"/>
              </w:rPr>
            </w:pPr>
            <w:r>
              <w:rPr>
                <w:rFonts w:ascii="Arial" w:cs="Arial" w:eastAsia="Arial" w:hAnsi="Arial"/>
                <w:sz w:val="16"/>
                <w:szCs w:val="16"/>
                <w:b w:val="1"/>
                <w:bCs w:val="1"/>
                <w:color w:val="auto"/>
              </w:rPr>
              <w:t>30,971</w:t>
            </w:r>
          </w:p>
        </w:tc>
        <w:tc>
          <w:tcPr>
            <w:tcW w:w="380" w:type="dxa"/>
            <w:vAlign w:val="bottom"/>
          </w:tcPr>
          <w:p>
            <w:pPr>
              <w:spacing w:after="0"/>
              <w:rPr>
                <w:sz w:val="18"/>
                <w:szCs w:val="18"/>
                <w:color w:val="auto"/>
              </w:rPr>
            </w:pP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30,291</w:t>
            </w:r>
          </w:p>
        </w:tc>
        <w:tc>
          <w:tcPr>
            <w:tcW w:w="300" w:type="dxa"/>
            <w:vAlign w:val="bottom"/>
          </w:tcPr>
          <w:p>
            <w:pPr>
              <w:spacing w:after="0"/>
              <w:rPr>
                <w:sz w:val="18"/>
                <w:szCs w:val="18"/>
                <w:color w:val="auto"/>
              </w:rPr>
            </w:pPr>
          </w:p>
        </w:tc>
        <w:tc>
          <w:tcPr>
            <w:tcW w:w="1360" w:type="dxa"/>
            <w:vAlign w:val="bottom"/>
          </w:tcPr>
          <w:p>
            <w:pPr>
              <w:jc w:val="right"/>
              <w:ind w:right="141"/>
              <w:spacing w:after="0"/>
              <w:rPr>
                <w:sz w:val="20"/>
                <w:szCs w:val="20"/>
                <w:color w:val="auto"/>
              </w:rPr>
            </w:pPr>
            <w:r>
              <w:rPr>
                <w:rFonts w:ascii="Arial" w:cs="Arial" w:eastAsia="Arial" w:hAnsi="Arial"/>
                <w:sz w:val="16"/>
                <w:szCs w:val="16"/>
                <w:b w:val="1"/>
                <w:bCs w:val="1"/>
                <w:color w:val="auto"/>
              </w:rPr>
              <w:t>97,710</w:t>
            </w:r>
          </w:p>
        </w:tc>
        <w:tc>
          <w:tcPr>
            <w:tcW w:w="380" w:type="dxa"/>
            <w:vAlign w:val="bottom"/>
          </w:tcPr>
          <w:p>
            <w:pPr>
              <w:spacing w:after="0"/>
              <w:rPr>
                <w:sz w:val="18"/>
                <w:szCs w:val="18"/>
                <w:color w:val="auto"/>
              </w:rPr>
            </w:pP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98,841</w:t>
            </w:r>
          </w:p>
        </w:tc>
      </w:tr>
      <w:tr>
        <w:trPr>
          <w:trHeight w:val="216"/>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Technical and research expenses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21"/>
              <w:spacing w:after="0"/>
              <w:rPr>
                <w:sz w:val="20"/>
                <w:szCs w:val="20"/>
                <w:color w:val="auto"/>
              </w:rPr>
            </w:pPr>
            <w:r>
              <w:rPr>
                <w:rFonts w:ascii="Arial" w:cs="Arial" w:eastAsia="Arial" w:hAnsi="Arial"/>
                <w:sz w:val="16"/>
                <w:szCs w:val="16"/>
                <w:b w:val="1"/>
                <w:bCs w:val="1"/>
                <w:color w:val="auto"/>
              </w:rPr>
              <w:t>6,412</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6,716</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19,960</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21,332</w:t>
            </w:r>
          </w:p>
        </w:tc>
      </w:tr>
      <w:tr>
        <w:trPr>
          <w:trHeight w:val="216"/>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Restructuring expenses, net</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6,827</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1,960</w:t>
            </w: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15,892</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6,322</w:t>
            </w:r>
          </w:p>
        </w:tc>
      </w:tr>
      <w:tr>
        <w:trPr>
          <w:trHeight w:val="209"/>
        </w:trPr>
        <w:tc>
          <w:tcPr>
            <w:tcW w:w="4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b w:val="1"/>
                <w:bCs w:val="1"/>
                <w:color w:val="auto"/>
              </w:rPr>
              <w:t>31,158</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43,103</w:t>
            </w:r>
          </w:p>
        </w:tc>
        <w:tc>
          <w:tcPr>
            <w:tcW w:w="3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97,815</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119,236</w:t>
            </w:r>
          </w:p>
        </w:tc>
      </w:tr>
      <w:tr>
        <w:trPr>
          <w:trHeight w:val="209"/>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of net revenues</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18.3 %</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24.6 %</w:t>
            </w: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19.0 %</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22.5 %</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revenues for the three months ended September 30, 2026 decreased 2.9% as compared to the three months ended September 30, 2025, driven by reduced demand in the Americas region partially offset by strong performance within the European market and stable performance in Asia.</w:t>
      </w:r>
    </w:p>
    <w:p>
      <w:pPr>
        <w:spacing w:after="0" w:line="13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revenues for the nine months ended September 30, 2026 decreased 3.0% as compared to the nine months ended September 30, 2025, driven by reduced demand in the Americas region offset by strong performance within the European market and stable performance in Asia. Further, changes in currency translation rates had the effect of increasing Net revenues by $8.4 million for the nine months ended September 30, 2026, as compared to this period in 2025.</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Gross profit for the three months ended September 30, 2026 decreased by $6.7 million as compared to the three months ended September 30, 2025, driven by the volume declines noted above as well as under absorbed costs related to lower production rates, with gross profit margin decreasing from 46.9% to 44.4% in the three months ended September 30, 2025 and 2026, respectively.</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Gross profit for the nine months ended September 30, 2026 decreased by $14.4 million as compared to the nine months ended September 30, 2025, primarily driven by the volume declines noted above as well as under absorbed costs related to lower production rates, with gross profit margin decreasing slightly from 46.3% to 45.0% in the nine months ended September 30, 2025 and 2026,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Operating income for the three months ended September 30, 2026 decreased $11.9 million or 27.7% as compared to the three months ended September 30, 2025, primarily as a result of gross profit declines and higher restructuring costs. Incremental restructuring expenses were primarily a result of higher asset transfer costs related to site consolidations and higher consulting costs.</w:t>
      </w:r>
    </w:p>
    <w:p>
      <w:pPr>
        <w:spacing w:after="0" w:line="13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Operating income for the nine months ended September 30, 2026 decreased $21.4 million or 18.0% as compared to the nine months ended September 30, 2025, primarily as a result of gross profit declines and higher restructuring costs, partially offset by Selling, general, and administrative and Technical and research cost containment. Incremental restructuring expenses were primarily a result of higher asset transfer costs related to site consolidations and higher consulting costs.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Albany Engineered Composites Segment</w:t>
      </w:r>
    </w:p>
    <w:p>
      <w:pPr>
        <w:spacing w:after="0" w:line="19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AEC has contracts with certain customers, including its contract for the LEAP program, where revenue is determined by a cost-plus-fee agreement. Revenue earned under this arrangement accounted for approximately 33% and 37% of segment revenue for the nine months ended September 30, 2026 and 2025, respectively.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5" w:name="page36"/>
    <w:bookmarkEnd w:id="35"/>
    <w:p>
      <w:pPr>
        <w:jc w:val="both"/>
        <w:spacing w:after="0" w:line="257" w:lineRule="auto"/>
        <w:rPr>
          <w:sz w:val="20"/>
          <w:szCs w:val="20"/>
          <w:color w:val="auto"/>
        </w:rPr>
      </w:pPr>
      <w:r>
        <w:rPr>
          <w:rFonts w:ascii="Arial" w:cs="Arial" w:eastAsia="Arial" w:hAnsi="Arial"/>
          <w:sz w:val="18"/>
          <w:szCs w:val="18"/>
          <w:color w:val="auto"/>
        </w:rPr>
        <w:t>In addition, AEC has long-term contracts in which the selling price is fixed. In accounting for those contracts, we estimate the profit margin expected at the completion of the contract and recognize a pro-rata share of that profit during the course of the contract using a cost-to-cost approach. Changes in estimated contract profitability will affect revenue and gross profit when the change occurs, which could have a significant favorable or unfavorable effect on revenue and gross profit in any reporting period. For contracts with anticipated losses, a provision for the entire amount of the estimated remaining loss is charged against income in the period in which the loss becomes known. Contract losses are determined considering all direct and indirect contract costs, exclusive of any selling, general or administrative cost allocations, which are treated as period expenses. Expected losses on projects include losses on contract options that are probable of exercise, excluding profitable options that often follow.</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 summary of AEC's selected financial results is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4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980" w:type="dxa"/>
            <w:vAlign w:val="bottom"/>
            <w:tcBorders>
              <w:top w:val="single" w:sz="8" w:color="auto"/>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Borders>
              <w:top w:val="single" w:sz="8" w:color="auto"/>
              <w:bottom w:val="single" w:sz="8" w:color="auto"/>
            </w:tcBorders>
          </w:tcPr>
          <w:p>
            <w:pPr>
              <w:spacing w:after="0"/>
              <w:rPr>
                <w:sz w:val="18"/>
                <w:szCs w:val="18"/>
                <w:color w:val="auto"/>
              </w:rPr>
            </w:pPr>
          </w:p>
        </w:tc>
        <w:tc>
          <w:tcPr>
            <w:tcW w:w="2920" w:type="dxa"/>
            <w:vAlign w:val="bottom"/>
            <w:tcBorders>
              <w:top w:val="single" w:sz="8" w:color="auto"/>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rPr>
              <w:t>Nine Months Ended September 30,</w:t>
            </w:r>
          </w:p>
        </w:tc>
      </w:tr>
      <w:tr>
        <w:trPr>
          <w:trHeight w:val="197"/>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rPr>
              <w:t>2026</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2026</w:t>
            </w: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40"/>
              <w:spacing w:after="0"/>
              <w:rPr>
                <w:sz w:val="20"/>
                <w:szCs w:val="20"/>
                <w:color w:val="auto"/>
              </w:rPr>
            </w:pPr>
            <w:r>
              <w:rPr>
                <w:rFonts w:ascii="Arial" w:cs="Arial" w:eastAsia="Arial" w:hAnsi="Arial"/>
                <w:sz w:val="14"/>
                <w:szCs w:val="14"/>
                <w:b w:val="1"/>
                <w:bCs w:val="1"/>
                <w:color w:val="auto"/>
              </w:rPr>
              <w:t>2025</w:t>
            </w:r>
          </w:p>
        </w:tc>
      </w:tr>
      <w:tr>
        <w:trPr>
          <w:trHeight w:val="210"/>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60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179,737</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86,484</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475,890</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331,034</w:t>
            </w:r>
          </w:p>
        </w:tc>
      </w:tr>
      <w:tr>
        <w:trPr>
          <w:trHeight w:val="216"/>
        </w:trPr>
        <w:tc>
          <w:tcPr>
            <w:tcW w:w="44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tcPr>
          <w:p>
            <w:pPr>
              <w:spacing w:after="0"/>
              <w:rPr>
                <w:sz w:val="18"/>
                <w:szCs w:val="18"/>
                <w:color w:val="auto"/>
              </w:rPr>
            </w:pPr>
          </w:p>
        </w:tc>
        <w:tc>
          <w:tcPr>
            <w:tcW w:w="1600" w:type="dxa"/>
            <w:vAlign w:val="bottom"/>
          </w:tcPr>
          <w:p>
            <w:pPr>
              <w:jc w:val="right"/>
              <w:ind w:right="141"/>
              <w:spacing w:after="0"/>
              <w:rPr>
                <w:sz w:val="20"/>
                <w:szCs w:val="20"/>
                <w:color w:val="auto"/>
              </w:rPr>
            </w:pPr>
            <w:r>
              <w:rPr>
                <w:rFonts w:ascii="Arial" w:cs="Arial" w:eastAsia="Arial" w:hAnsi="Arial"/>
                <w:sz w:val="16"/>
                <w:szCs w:val="16"/>
                <w:b w:val="1"/>
                <w:bCs w:val="1"/>
                <w:color w:val="auto"/>
              </w:rPr>
              <w:t>65,010</w:t>
            </w:r>
          </w:p>
        </w:tc>
        <w:tc>
          <w:tcPr>
            <w:tcW w:w="320" w:type="dxa"/>
            <w:vAlign w:val="bottom"/>
          </w:tcPr>
          <w:p>
            <w:pPr>
              <w:spacing w:after="0"/>
              <w:rPr>
                <w:sz w:val="18"/>
                <w:szCs w:val="18"/>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(132,008)</w:t>
            </w:r>
          </w:p>
        </w:tc>
        <w:tc>
          <w:tcPr>
            <w:tcW w:w="260" w:type="dxa"/>
            <w:vAlign w:val="bottom"/>
          </w:tcPr>
          <w:p>
            <w:pPr>
              <w:spacing w:after="0"/>
              <w:rPr>
                <w:sz w:val="18"/>
                <w:szCs w:val="18"/>
                <w:color w:val="auto"/>
              </w:rPr>
            </w:pPr>
          </w:p>
        </w:tc>
        <w:tc>
          <w:tcPr>
            <w:tcW w:w="1140" w:type="dxa"/>
            <w:vAlign w:val="bottom"/>
          </w:tcPr>
          <w:p>
            <w:pPr>
              <w:jc w:val="right"/>
              <w:ind w:right="141"/>
              <w:spacing w:after="0"/>
              <w:rPr>
                <w:sz w:val="20"/>
                <w:szCs w:val="20"/>
                <w:color w:val="auto"/>
              </w:rPr>
            </w:pPr>
            <w:r>
              <w:rPr>
                <w:rFonts w:ascii="Arial" w:cs="Arial" w:eastAsia="Arial" w:hAnsi="Arial"/>
                <w:sz w:val="16"/>
                <w:szCs w:val="16"/>
                <w:b w:val="1"/>
                <w:bCs w:val="1"/>
                <w:color w:val="auto"/>
              </w:rPr>
              <w:t>116,696</w:t>
            </w:r>
          </w:p>
        </w:tc>
        <w:tc>
          <w:tcPr>
            <w:tcW w:w="420" w:type="dxa"/>
            <w:vAlign w:val="bottom"/>
          </w:tcPr>
          <w:p>
            <w:pPr>
              <w:spacing w:after="0"/>
              <w:rPr>
                <w:sz w:val="18"/>
                <w:szCs w:val="18"/>
                <w:color w:val="auto"/>
              </w:rPr>
            </w:pPr>
          </w:p>
        </w:tc>
        <w:tc>
          <w:tcPr>
            <w:tcW w:w="1360" w:type="dxa"/>
            <w:vAlign w:val="bottom"/>
          </w:tcPr>
          <w:p>
            <w:pPr>
              <w:jc w:val="right"/>
              <w:ind w:right="80"/>
              <w:spacing w:after="0"/>
              <w:rPr>
                <w:sz w:val="20"/>
                <w:szCs w:val="20"/>
                <w:color w:val="auto"/>
              </w:rPr>
            </w:pPr>
            <w:r>
              <w:rPr>
                <w:rFonts w:ascii="Arial" w:cs="Arial" w:eastAsia="Arial" w:hAnsi="Arial"/>
                <w:sz w:val="16"/>
                <w:szCs w:val="16"/>
                <w:color w:val="auto"/>
              </w:rPr>
              <w:t>(101,676)</w:t>
            </w:r>
          </w:p>
        </w:tc>
      </w:tr>
      <w:tr>
        <w:trPr>
          <w:trHeight w:val="216"/>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of net revenues</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36.2 %</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(152.6)%</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24.5 %</w:t>
            </w: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w:t>
            </w:r>
          </w:p>
        </w:tc>
      </w:tr>
      <w:tr>
        <w:trPr>
          <w:trHeight w:val="216"/>
        </w:trPr>
        <w:tc>
          <w:tcPr>
            <w:tcW w:w="4400" w:type="dxa"/>
            <w:vAlign w:val="bottom"/>
          </w:tcPr>
          <w:p>
            <w:pPr>
              <w:ind w:left="20"/>
              <w:spacing w:after="0"/>
              <w:rPr>
                <w:sz w:val="20"/>
                <w:szCs w:val="20"/>
                <w:color w:val="auto"/>
              </w:rPr>
            </w:pPr>
            <w:r>
              <w:rPr>
                <w:rFonts w:ascii="Arial" w:cs="Arial" w:eastAsia="Arial" w:hAnsi="Arial"/>
                <w:sz w:val="16"/>
                <w:szCs w:val="16"/>
                <w:color w:val="auto"/>
              </w:rPr>
              <w:t>SG&amp;A expenses</w:t>
            </w:r>
          </w:p>
        </w:tc>
        <w:tc>
          <w:tcPr>
            <w:tcW w:w="240" w:type="dxa"/>
            <w:vAlign w:val="bottom"/>
          </w:tcPr>
          <w:p>
            <w:pPr>
              <w:spacing w:after="0"/>
              <w:rPr>
                <w:sz w:val="18"/>
                <w:szCs w:val="18"/>
                <w:color w:val="auto"/>
              </w:rPr>
            </w:pPr>
          </w:p>
        </w:tc>
        <w:tc>
          <w:tcPr>
            <w:tcW w:w="1600" w:type="dxa"/>
            <w:vAlign w:val="bottom"/>
          </w:tcPr>
          <w:p>
            <w:pPr>
              <w:jc w:val="right"/>
              <w:ind w:right="141"/>
              <w:spacing w:after="0"/>
              <w:rPr>
                <w:sz w:val="20"/>
                <w:szCs w:val="20"/>
                <w:color w:val="auto"/>
              </w:rPr>
            </w:pPr>
            <w:r>
              <w:rPr>
                <w:rFonts w:ascii="Arial" w:cs="Arial" w:eastAsia="Arial" w:hAnsi="Arial"/>
                <w:sz w:val="16"/>
                <w:szCs w:val="16"/>
                <w:b w:val="1"/>
                <w:bCs w:val="1"/>
                <w:color w:val="auto"/>
              </w:rPr>
              <w:t>17,166</w:t>
            </w:r>
          </w:p>
        </w:tc>
        <w:tc>
          <w:tcPr>
            <w:tcW w:w="320" w:type="dxa"/>
            <w:vAlign w:val="bottom"/>
          </w:tcPr>
          <w:p>
            <w:pPr>
              <w:spacing w:after="0"/>
              <w:rPr>
                <w:sz w:val="18"/>
                <w:szCs w:val="18"/>
                <w:color w:val="auto"/>
              </w:rPr>
            </w:pPr>
          </w:p>
        </w:tc>
        <w:tc>
          <w:tcPr>
            <w:tcW w:w="1060" w:type="dxa"/>
            <w:vAlign w:val="bottom"/>
          </w:tcPr>
          <w:p>
            <w:pPr>
              <w:jc w:val="right"/>
              <w:ind w:right="120"/>
              <w:spacing w:after="0"/>
              <w:rPr>
                <w:sz w:val="20"/>
                <w:szCs w:val="20"/>
                <w:color w:val="auto"/>
              </w:rPr>
            </w:pPr>
            <w:r>
              <w:rPr>
                <w:rFonts w:ascii="Arial" w:cs="Arial" w:eastAsia="Arial" w:hAnsi="Arial"/>
                <w:sz w:val="16"/>
                <w:szCs w:val="16"/>
                <w:color w:val="auto"/>
              </w:rPr>
              <w:t>12,218</w:t>
            </w:r>
          </w:p>
        </w:tc>
        <w:tc>
          <w:tcPr>
            <w:tcW w:w="260" w:type="dxa"/>
            <w:vAlign w:val="bottom"/>
          </w:tcPr>
          <w:p>
            <w:pPr>
              <w:spacing w:after="0"/>
              <w:rPr>
                <w:sz w:val="18"/>
                <w:szCs w:val="18"/>
                <w:color w:val="auto"/>
              </w:rPr>
            </w:pPr>
          </w:p>
        </w:tc>
        <w:tc>
          <w:tcPr>
            <w:tcW w:w="1140" w:type="dxa"/>
            <w:vAlign w:val="bottom"/>
          </w:tcPr>
          <w:p>
            <w:pPr>
              <w:jc w:val="right"/>
              <w:ind w:right="141"/>
              <w:spacing w:after="0"/>
              <w:rPr>
                <w:sz w:val="20"/>
                <w:szCs w:val="20"/>
                <w:color w:val="auto"/>
              </w:rPr>
            </w:pPr>
            <w:r>
              <w:rPr>
                <w:rFonts w:ascii="Arial" w:cs="Arial" w:eastAsia="Arial" w:hAnsi="Arial"/>
                <w:sz w:val="16"/>
                <w:szCs w:val="16"/>
                <w:b w:val="1"/>
                <w:bCs w:val="1"/>
                <w:color w:val="auto"/>
              </w:rPr>
              <w:t>40,067</w:t>
            </w:r>
          </w:p>
        </w:tc>
        <w:tc>
          <w:tcPr>
            <w:tcW w:w="420" w:type="dxa"/>
            <w:vAlign w:val="bottom"/>
          </w:tcPr>
          <w:p>
            <w:pPr>
              <w:spacing w:after="0"/>
              <w:rPr>
                <w:sz w:val="18"/>
                <w:szCs w:val="18"/>
                <w:color w:val="auto"/>
              </w:rPr>
            </w:pPr>
          </w:p>
        </w:tc>
        <w:tc>
          <w:tcPr>
            <w:tcW w:w="1360" w:type="dxa"/>
            <w:vAlign w:val="bottom"/>
          </w:tcPr>
          <w:p>
            <w:pPr>
              <w:jc w:val="right"/>
              <w:ind w:right="120"/>
              <w:spacing w:after="0"/>
              <w:rPr>
                <w:sz w:val="20"/>
                <w:szCs w:val="20"/>
                <w:color w:val="auto"/>
              </w:rPr>
            </w:pPr>
            <w:r>
              <w:rPr>
                <w:rFonts w:ascii="Arial" w:cs="Arial" w:eastAsia="Arial" w:hAnsi="Arial"/>
                <w:sz w:val="16"/>
                <w:szCs w:val="16"/>
                <w:color w:val="auto"/>
              </w:rPr>
              <w:t>34,121</w:t>
            </w:r>
          </w:p>
        </w:tc>
      </w:tr>
      <w:tr>
        <w:trPr>
          <w:trHeight w:val="216"/>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Technical and research expenses</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4,498</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3,673</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13,256</w:t>
            </w: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11,472</w:t>
            </w:r>
          </w:p>
        </w:tc>
      </w:tr>
      <w:tr>
        <w:trPr>
          <w:trHeight w:val="216"/>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Restructuring expenses, net</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113</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1,801</w:t>
            </w:r>
          </w:p>
        </w:tc>
      </w:tr>
      <w:tr>
        <w:trPr>
          <w:trHeight w:val="210"/>
        </w:trPr>
        <w:tc>
          <w:tcPr>
            <w:tcW w:w="4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43,346</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(148,012)</w:t>
            </w: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63,373</w:t>
            </w:r>
          </w:p>
        </w:tc>
        <w:tc>
          <w:tcPr>
            <w:tcW w:w="4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(149,070)</w:t>
            </w:r>
          </w:p>
        </w:tc>
      </w:tr>
      <w:tr>
        <w:trPr>
          <w:trHeight w:val="209"/>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of net revenues</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24.1 %</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(171.1)%</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13.3 %</w:t>
            </w: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revenues for the three months ended September 30, 2026 increased $93.3 million, or 107.8%, primarily driven by negative CH-53K program adjustments of $46.0 million recorded in the prior year period compared to the reversal of $11.6 million of those adjustments in the current year period due to a contract renegotiation resulting in additional transaction price, as well as higher other program activity levels, primarily LEAP.</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revenues for the nine months ended September 30, 2026 increased $144.9 million</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or 43.8%, primarily driven by negative CH-53K program adjustments of $54.3 million recorded in the prior year period compared to positive adjustments of $11.6 million in the current year period due to a contract renegotiation resulting in additional transaction price. Additionally, other program activities are higher in the current year period including LEAP platforms, B787 Frames, F-35, and BETA Technologies. Further, changes in currency translation rates had the effect of increasing Net revenues by $5.7 million for the nine months ended September 30, 2026, as compared to this period in 2025.</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Gross profit for the three months ended September 30, 2026 increased $ 197.0 million as compared to the three months ended September 30, 2025, and Gross profit margin increased from (152.6)% to 36.2% in the three months ended September 30, 2025 and 2026, respectively. The change was primarily driven by the absence of negative CH-53K program adjustments of $ 147.3 million recorded in the prior year period compared to the reversal of $ 44.4 million of these adjustments in the current year period due to the contract renegotiation. Additionally, higher sales volume contributed to the increase in gross profit. These increases were partially offset by $11.0 million of catch-up depreciation and amortization recorded in the current year period upon reclassification of the Amelia Earhart Drive assets out of held for sale.</w:t>
      </w:r>
    </w:p>
    <w:p>
      <w:pPr>
        <w:spacing w:after="0" w:line="1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Gross profit for the nine months ended September 30, 2026 increased $218.4 million as compared to the nine months ended September 30, 2025, and Gross profit margin increased from (30.7)% to 24.5% in the nine months ended September 30, 2025 and 2026, respectively. The change is primarily driven by changes in the estimated profitability of our CH-53K and other long-term contracts recognized in both periods. These adjustments were a negative $157.6 million in the prior year period, primarily related to an estimated loss reserve on CH-53K, compared to a positive $ 36.3 million in the current year period, primarily related to the CH-53K contract renegotiation. Additionally, higher sales volume contributed to the increase in gross profit.</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Operating Income</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Operating income for the three months ended September 30, 2026 increased $ 191.4 million as compared to the three months ended September 30, 2025, principally due to favorable changes to Gross profit as noted above and the conclusion of restructuring activities from 2025. This is partially offset by an increase in SG&amp;A expenses of $4.9 million from the prior period as a result of increased compensation expenses.</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income for the nine months ended September 30, 2026 increased $ 212.4 million as compared to the nine months ended September 30, 2025, principally due to favorable changes to Gross profit as noted above and the conclusion of restructuring activities from 2025. This was slightly offset by an increase in SG&amp;A expenses of $5.9 million from the prior period as a result of increased compensation expenses. Additionally, Technical and research expenses increased $1.8 million for the nine months ended September 30, 2026 as compared to the nine months ended September 30, 2025, driven by increased costs to assist with continued innovation within the segment.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Liquidity and Capital Structure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Summary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14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860" w:type="dxa"/>
            <w:vAlign w:val="bottom"/>
            <w:tcBorders>
              <w:top w:val="single" w:sz="8" w:color="auto"/>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Nine months ended September 30,</w:t>
            </w:r>
          </w:p>
        </w:tc>
      </w:tr>
      <w:tr>
        <w:trPr>
          <w:trHeight w:val="211"/>
        </w:trPr>
        <w:tc>
          <w:tcPr>
            <w:tcW w:w="8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2026</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2025</w:t>
            </w:r>
          </w:p>
        </w:tc>
      </w:tr>
      <w:tr>
        <w:trPr>
          <w:trHeight w:val="211"/>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75,039</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(70,957)</w:t>
            </w:r>
          </w:p>
        </w:tc>
      </w:tr>
      <w:tr>
        <w:trPr>
          <w:trHeight w:val="216"/>
        </w:trPr>
        <w:tc>
          <w:tcPr>
            <w:tcW w:w="814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65,063</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65,480</w:t>
            </w:r>
          </w:p>
        </w:tc>
      </w:tr>
      <w:tr>
        <w:trPr>
          <w:trHeight w:val="216"/>
        </w:trPr>
        <w:tc>
          <w:tcPr>
            <w:tcW w:w="8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Changes in working capital (a)</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(42,519)</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(15,108)</w:t>
            </w:r>
          </w:p>
        </w:tc>
      </w:tr>
      <w:tr>
        <w:trPr>
          <w:trHeight w:val="216"/>
        </w:trPr>
        <w:tc>
          <w:tcPr>
            <w:tcW w:w="8140" w:type="dxa"/>
            <w:vAlign w:val="bottom"/>
          </w:tcPr>
          <w:p>
            <w:pPr>
              <w:ind w:left="140"/>
              <w:spacing w:after="0"/>
              <w:rPr>
                <w:sz w:val="20"/>
                <w:szCs w:val="20"/>
                <w:color w:val="auto"/>
              </w:rPr>
            </w:pPr>
            <w:r>
              <w:rPr>
                <w:rFonts w:ascii="Arial" w:cs="Arial" w:eastAsia="Arial" w:hAnsi="Arial"/>
                <w:sz w:val="16"/>
                <w:szCs w:val="16"/>
                <w:color w:val="auto"/>
              </w:rPr>
              <w:t>Changes in other noncurrent liabilities and deferred taxes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12,412</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(26,171)</w:t>
            </w:r>
          </w:p>
        </w:tc>
      </w:tr>
      <w:tr>
        <w:trPr>
          <w:trHeight w:val="216"/>
        </w:trPr>
        <w:tc>
          <w:tcPr>
            <w:tcW w:w="81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Other operating items</w:t>
            </w: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(58,372)</w:t>
            </w: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125,528</w:t>
            </w:r>
          </w:p>
        </w:tc>
      </w:tr>
      <w:tr>
        <w:trPr>
          <w:trHeight w:val="236"/>
        </w:trPr>
        <w:tc>
          <w:tcPr>
            <w:tcW w:w="814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51,623</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78,772</w:t>
            </w:r>
          </w:p>
        </w:tc>
      </w:tr>
      <w:tr>
        <w:trPr>
          <w:trHeight w:val="216"/>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(30,553)</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(45,566)</w:t>
            </w:r>
          </w:p>
        </w:tc>
      </w:tr>
      <w:tr>
        <w:trPr>
          <w:trHeight w:val="243"/>
        </w:trPr>
        <w:tc>
          <w:tcPr>
            <w:tcW w:w="8140" w:type="dxa"/>
            <w:vAlign w:val="bottom"/>
          </w:tcPr>
          <w:p>
            <w:pPr>
              <w:ind w:left="20"/>
              <w:spacing w:after="0"/>
              <w:rPr>
                <w:sz w:val="20"/>
                <w:szCs w:val="20"/>
                <w:color w:val="auto"/>
              </w:rPr>
            </w:pPr>
            <w:r>
              <w:rPr>
                <w:rFonts w:ascii="Arial" w:cs="Arial" w:eastAsia="Arial" w:hAnsi="Arial"/>
                <w:sz w:val="16"/>
                <w:szCs w:val="16"/>
                <w:color w:val="auto"/>
              </w:rPr>
              <w:t>Net cash used in financing activities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(55,454)</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(48,268)</w:t>
            </w:r>
          </w:p>
        </w:tc>
      </w:tr>
      <w:tr>
        <w:trPr>
          <w:trHeight w:val="216"/>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1,159</w:t>
            </w: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8,089</w:t>
            </w:r>
          </w:p>
        </w:tc>
      </w:tr>
      <w:tr>
        <w:trPr>
          <w:trHeight w:val="223"/>
        </w:trPr>
        <w:tc>
          <w:tcPr>
            <w:tcW w:w="8140" w:type="dxa"/>
            <w:vAlign w:val="bottom"/>
          </w:tcPr>
          <w:p>
            <w:pPr>
              <w:ind w:left="20"/>
              <w:spacing w:after="0"/>
              <w:rPr>
                <w:sz w:val="20"/>
                <w:szCs w:val="20"/>
                <w:color w:val="auto"/>
              </w:rPr>
            </w:pPr>
            <w:r>
              <w:rPr>
                <w:rFonts w:ascii="Arial" w:cs="Arial" w:eastAsia="Arial" w:hAnsi="Arial"/>
                <w:sz w:val="16"/>
                <w:szCs w:val="16"/>
                <w:color w:val="auto"/>
              </w:rPr>
              <w:t>Decrease in cash and cash equivalents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(33,225)</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(6,973)</w:t>
            </w:r>
          </w:p>
        </w:tc>
      </w:tr>
      <w:tr>
        <w:trPr>
          <w:trHeight w:val="216"/>
        </w:trPr>
        <w:tc>
          <w:tcPr>
            <w:tcW w:w="8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112,350</w:t>
            </w: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115,283</w:t>
            </w:r>
          </w:p>
        </w:tc>
      </w:tr>
      <w:tr>
        <w:trPr>
          <w:trHeight w:val="237"/>
        </w:trPr>
        <w:tc>
          <w:tcPr>
            <w:tcW w:w="8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79,125</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108,310</w:t>
            </w:r>
          </w:p>
        </w:tc>
      </w:tr>
    </w:tbl>
    <w:p>
      <w:pPr>
        <w:spacing w:after="0" w:line="80"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Accounts receivable, Contract assets, Inventories, Accounts payable, and Accrued liabilities.</w:t>
      </w:r>
    </w:p>
    <w:p>
      <w:pPr>
        <w:spacing w:after="0" w:line="230"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Net cash provided by operating activities during the nine months ended September 30, 2026 was $51.6 million, compared to $78.8 million in the nine months ended September 30, 2025. The decrease was driven by lower cash generated by working capital primarily due to timing of customer collections and inventory growth in connection with timing of demand in both MC and AEC.</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cash used in investing activities included capital expenditures totaling $33.3 million and $48.8 million for the nine months ended September 30, 2026 and September 30, 2025, respectively, with continued growth capital and capital designed to improve operating efficiencies across the Company.</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financing activities was $55.5 million for the nine months ended September 30, 2026 as compared to net cash used of $48.3 million for the nine months ended September 30, 2025. During 2026, we had net repayments of debt of $30.0 million as compared to $150.0 million of borrowings in the prior year, which were offset by share repurchases of $171.0 million. Additionally, the Company has returned cash to shareholders through dividends of $23.8 million in the first nine months of 2026, compared to $24.7 million for the nine months ended September 30, 2025.</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Structure</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finance our business activities principally with cash generated from operations and borrowings, largely through our revolving credit agreement as discussed below. As of September 30, 2026, $422.1 million of borrowings were outstanding under our $800 million unsecured committed Amended Credit Agreement.</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September 30, 2026, we had cash and cash equivalents of $79.1 million and borrowing capacity under our Amended Credit Agreement of $377.9 million, for a total liquidity of approximately $457.0 million. We believe cash</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7" w:name="page38"/>
    <w:bookmarkEnd w:id="37"/>
    <w:p>
      <w:pPr>
        <w:jc w:val="both"/>
        <w:ind w:right="20"/>
        <w:spacing w:after="0" w:line="287" w:lineRule="auto"/>
        <w:rPr>
          <w:sz w:val="20"/>
          <w:szCs w:val="20"/>
          <w:color w:val="auto"/>
        </w:rPr>
      </w:pPr>
      <w:r>
        <w:rPr>
          <w:rFonts w:ascii="Arial" w:cs="Arial" w:eastAsia="Arial" w:hAnsi="Arial"/>
          <w:sz w:val="18"/>
          <w:szCs w:val="18"/>
          <w:color w:val="auto"/>
        </w:rPr>
        <w:t>flows from operations and the availability of funds under our Amended Credit Agreement will be adequate to fund our operations and business needs over the next twelve months.</w:t>
      </w:r>
    </w:p>
    <w:p>
      <w:pPr>
        <w:spacing w:after="0" w:line="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September 30, 2026, $68.4 million of our total cash and cash equivalents were held by non-U.S. subsidiaries. The accumulated undistributed earnings of the Company’s foreign operations not targeted for repatriation to the U.S. were in excess of $161.5 million, as of September 30, 2026 and are intended to remain indefinitely invested in foreign operations. Our cash planning strategy includes repatriating current earnings in excess of working capital requirements from certain countries in which our subsidiaries operate. While we have been successful in such endeavor to date, there can be no assurance that we will be able to cost effectively repatriate funds in the future. Repatriating such cash from certain jurisdictions, which is currently considered to be indefinitely reinvested in foreign operations, may also result in additional taxes.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4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is party to certain off-balance sheet arrangements, including certain guarantees. The Company provides financial assurance, such as payment guarantees and letters of credit and surety bonds, primarily to support workers’ compensation programs and customs clearance, of less than $10 million. There were no material changes in the Company’s off-balance sheet arrangements during the third quarter of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exposed to changes in both foreign currency exchange rates and interest rates. From time to time, the Company enters into derivative agreements to manage these risks. The market risk is the potential loss arising from adverse changes in these rates as discussed below.</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manufacturing plants and sales transactions worldwide and, therefore, are subject to foreign currency risk. Our operational results can be materially impacted depending on the volatility and magnitude of foreign rate changes. This risk is composed of both potential losses from the translation of foreign currency financial statements and the remeasurement of foreign currency transactions. To manage this risk, we periodically enter into forward exchange contracts either to hedge the net assets of a foreign investment or to provide an economic hedge against future cash flows. The total net assets of non-U.S. operations and long-term intercompany loans denominated in nonfunctional currencies subject to potential loss amount to approximately $646.2 million. The potential loss in fair value resulting from a hypothetical 10% adverse change in quoted foreign currency exchange rates amounts to $64.6 million. Furthermore, related to foreign currency transactions, we have exposure to various nonfunctional currency balances totaling $305.0 million. This amount includes, on an absolute basis, exposures to assets and liabilities held in currencies other than our local entities’ functional currencies. On a net basis, we had $214.6 million of foreign currency assets as of September 30, 2026. As currency rates change, these nonfunctional currency balances are revalued, and the corresponding adjustment is recorded in the income statement. A hypothetical change of 10% in currency rates could result in an adjustment to the income statement of approximately $21.5 million. Actual results may differ from these estimates.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interest rate fluctuations with respect to our variable rate debt, depending on general economic conditions.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On September 30, 2026, we had the following unhedged variable rate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02945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29450" cy="137160"/>
                    </a:xfrm>
                    <a:prstGeom prst="rect">
                      <a:avLst/>
                    </a:prstGeom>
                    <a:noFill/>
                  </pic:spPr>
                </pic:pic>
              </a:graphicData>
            </a:graphic>
          </wp:anchor>
        </w:drawing>
      </w:r>
    </w:p>
    <w:p>
      <w:pPr>
        <w:spacing w:after="0" w:line="29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 except interest rates)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0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Long-term debt:</w:t>
            </w:r>
          </w:p>
        </w:tc>
        <w:tc>
          <w:tcPr>
            <w:tcW w:w="28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16"/>
        </w:trPr>
        <w:tc>
          <w:tcPr>
            <w:tcW w:w="7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Credit agreement borrowings outstanding (due in 2028):</w:t>
            </w:r>
          </w:p>
        </w:tc>
        <w:tc>
          <w:tcPr>
            <w:tcW w:w="28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7020" w:type="dxa"/>
            <w:vAlign w:val="bottom"/>
          </w:tcPr>
          <w:p>
            <w:pPr>
              <w:ind w:left="680"/>
              <w:spacing w:after="0"/>
              <w:rPr>
                <w:sz w:val="20"/>
                <w:szCs w:val="20"/>
                <w:color w:val="auto"/>
              </w:rPr>
            </w:pPr>
            <w:r>
              <w:rPr>
                <w:rFonts w:ascii="Arial" w:cs="Arial" w:eastAsia="Arial" w:hAnsi="Arial"/>
                <w:sz w:val="16"/>
                <w:szCs w:val="16"/>
                <w:color w:val="auto"/>
              </w:rPr>
              <w:t>USD borrowings (end of period all-in interest rate of 5.6%)</w:t>
            </w:r>
          </w:p>
        </w:tc>
        <w:tc>
          <w:tcPr>
            <w:tcW w:w="28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195,000</w:t>
            </w:r>
          </w:p>
        </w:tc>
      </w:tr>
      <w:tr>
        <w:trPr>
          <w:trHeight w:val="216"/>
        </w:trPr>
        <w:tc>
          <w:tcPr>
            <w:tcW w:w="702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rPr>
              <w:t>EUR borrowings (end of period all-in interest rate of 4.0%)</w:t>
            </w:r>
          </w:p>
        </w:tc>
        <w:tc>
          <w:tcPr>
            <w:tcW w:w="28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51,044</w:t>
            </w:r>
          </w:p>
        </w:tc>
      </w:tr>
      <w:tr>
        <w:trPr>
          <w:trHeight w:val="210"/>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28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246,044</w:t>
            </w:r>
          </w:p>
        </w:tc>
      </w:tr>
    </w:tbl>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Assuming borrowings were outstanding for an entire year, an increase of one percentage point in weighted average interest rates would increase interest expense by $2.5 million. To manage interest rate risk, we may periodically enter into interest rate swap agreements to effectively fix the interest rates on variable debt to a specific rate for a period of time.</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second and third quarters of 2026, the Company entered into three USD and two EUR forward starting interest rate swap agreements with starting dates of November 15, 2026 and November 14, 2026, respectively. These instruments are intended to replace the Company's existing interest rate swap agreements upon their maturity on those same dates and are entered into for the purpose of managing the Company's exposure to variability in cash flows attributable to changes in benchmark interest rates. Changes in fair value during the forward period, from the trade date through the respective starting dates, will be recorded in other comprehensive income (loss).</w:t>
      </w:r>
    </w:p>
    <w:p>
      <w:pPr>
        <w:spacing w:after="0" w:line="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three USD forward starting interest rate swap agreements have three-year tenors and mature on November 15, 2029. The swaps have the effect of fixing the SOFR portion of the interest rate on a total of $175 million of USD indebtedness drawn under the Amended Credit Facility. Under these interest rate swap agreements, the Company pays a fixed rate and the counterparty pays a floating rate based on the one-month term SOFR rate, reset monthly. The two EUR forward starting interest rate swap agreements have three-year tenors and mature on November 14, 2029. The swaps have the effect of fixing the EURIBOR portion of the interest rate on a total of €45 million of EUR indebtedness drawn under the Amended Credit Facility. Under this agreement, the Company pays a fixed rate and the counterparty pays a floating rate based on the one-month EURIBOR rate, reset monthly.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9" w:name="page40"/>
    <w:bookmarkEnd w:id="39"/>
    <w:p>
      <w:pPr>
        <w:jc w:val="both"/>
        <w:spacing w:after="0" w:line="28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15. Financial Instruments</w:t>
      </w:r>
      <w:r>
        <w:rPr>
          <w:rFonts w:ascii="Arial" w:cs="Arial" w:eastAsia="Arial" w:hAnsi="Arial"/>
          <w:sz w:val="18"/>
          <w:szCs w:val="18"/>
          <w:color w:val="auto"/>
        </w:rPr>
        <w:t xml:space="preserve"> in the Notes to the Consolidated Financial Statements in Item 1, which is incorporated herein by reference.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Disclosure controls and procedures.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principal executive officer and principal financial officer, based on their evaluation of disclosure controls and procedures (as defined in Exchange Act Rules 13a-15(e) and 15d-15(e)) as of the end of the period covered by this Quarterly Report on Form 10-Q, have concluded that the Company’s disclosure controls and procedures are effective for ensuring that information required to be disclosed in the reports that it files or submits under the Securities Exchange Act of 1934 is recorded, processed, summarized and reported within the time periods specified in the Commission’s rules and forms. Disclosure controls and procedures include, without limitation, controls and procedures designed to ensure that information required to be disclosed in filed or submitted reports is accumulated and communicated to the Company’s management, including its principal executive officer and principal financial officer as appropriate, to allow timely decisions regarding required disclosure.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(b) Changes in internal control over financial reporting.</w:t>
      </w:r>
    </w:p>
    <w:p>
      <w:pPr>
        <w:spacing w:after="0" w:line="11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There was no change in the Company’s internal control over financial reporting (as defined in Rule 13a-15(f) and 15d-15(f) under the Securities Exchange Act of 1934, as amended) during the last fiscal quarter that has materially affected, or is reasonably likely to materially affect, the Company’s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The information set forth above under </w:t>
      </w:r>
      <w:r>
        <w:rPr>
          <w:rFonts w:ascii="Arial" w:cs="Arial" w:eastAsia="Arial" w:hAnsi="Arial"/>
          <w:sz w:val="18"/>
          <w:szCs w:val="18"/>
          <w:i w:val="1"/>
          <w:iCs w:val="1"/>
          <w:color w:val="auto"/>
        </w:rPr>
        <w:t>Note 17. Commitments and Contingencies</w:t>
      </w:r>
      <w:r>
        <w:rPr>
          <w:rFonts w:ascii="Arial" w:cs="Arial" w:eastAsia="Arial" w:hAnsi="Arial"/>
          <w:sz w:val="18"/>
          <w:szCs w:val="18"/>
          <w:color w:val="auto"/>
        </w:rPr>
        <w:t xml:space="preserve"> in Item 1, Notes to Consolidated Financial Statements is incorporated herein by reference.</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There have been no material changes from the risk factors previously disclosed in our Annual Report on Form 10-K for the year ended December 31, 2025.</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 during the three months ended September 30, 2026</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760" w:type="dxa"/>
            <w:vAlign w:val="bottom"/>
            <w:gridSpan w:val="2"/>
          </w:tcPr>
          <w:p>
            <w:pPr>
              <w:jc w:val="center"/>
              <w:ind w:left="2479"/>
              <w:spacing w:after="0"/>
              <w:rPr>
                <w:sz w:val="20"/>
                <w:szCs w:val="20"/>
                <w:color w:val="auto"/>
              </w:rPr>
            </w:pPr>
            <w:r>
              <w:rPr>
                <w:rFonts w:ascii="Arial" w:cs="Arial" w:eastAsia="Arial" w:hAnsi="Arial"/>
                <w:sz w:val="16"/>
                <w:szCs w:val="16"/>
                <w:color w:val="auto"/>
              </w:rPr>
              <w:t>Approx. dollar value of shares</w:t>
            </w: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140" w:type="dxa"/>
            <w:vAlign w:val="bottom"/>
            <w:gridSpan w:val="2"/>
            <w:vMerge w:val="restart"/>
          </w:tcPr>
          <w:p>
            <w:pPr>
              <w:jc w:val="center"/>
              <w:spacing w:after="0"/>
              <w:rPr>
                <w:sz w:val="20"/>
                <w:szCs w:val="20"/>
                <w:color w:val="auto"/>
              </w:rPr>
            </w:pPr>
            <w:r>
              <w:rPr>
                <w:rFonts w:ascii="Arial" w:cs="Arial" w:eastAsia="Arial" w:hAnsi="Arial"/>
                <w:sz w:val="16"/>
                <w:szCs w:val="16"/>
                <w:color w:val="auto"/>
              </w:rPr>
              <w:t>Total number of shares Average price paid</w:t>
            </w:r>
          </w:p>
        </w:tc>
        <w:tc>
          <w:tcPr>
            <w:tcW w:w="2680" w:type="dxa"/>
            <w:vAlign w:val="bottom"/>
          </w:tcPr>
          <w:p>
            <w:pPr>
              <w:jc w:val="center"/>
              <w:ind w:right="39"/>
              <w:spacing w:after="0" w:line="162" w:lineRule="exact"/>
              <w:rPr>
                <w:sz w:val="20"/>
                <w:szCs w:val="20"/>
                <w:color w:val="auto"/>
              </w:rPr>
            </w:pPr>
            <w:r>
              <w:rPr>
                <w:rFonts w:ascii="Arial" w:cs="Arial" w:eastAsia="Arial" w:hAnsi="Arial"/>
                <w:sz w:val="16"/>
                <w:szCs w:val="16"/>
                <w:color w:val="auto"/>
              </w:rPr>
              <w:t>Total number of shares purchased</w:t>
            </w:r>
          </w:p>
        </w:tc>
        <w:tc>
          <w:tcPr>
            <w:tcW w:w="2080" w:type="dxa"/>
            <w:vAlign w:val="bottom"/>
          </w:tcPr>
          <w:p>
            <w:pPr>
              <w:jc w:val="center"/>
              <w:ind w:right="39"/>
              <w:spacing w:after="0" w:line="162" w:lineRule="exact"/>
              <w:rPr>
                <w:sz w:val="20"/>
                <w:szCs w:val="20"/>
                <w:color w:val="auto"/>
              </w:rPr>
            </w:pPr>
            <w:r>
              <w:rPr>
                <w:rFonts w:ascii="Arial" w:cs="Arial" w:eastAsia="Arial" w:hAnsi="Arial"/>
                <w:sz w:val="16"/>
                <w:szCs w:val="16"/>
                <w:color w:val="auto"/>
              </w:rPr>
              <w:t>that may yet be purchased</w:t>
            </w: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1900" w:type="dxa"/>
            <w:vAlign w:val="bottom"/>
            <w:gridSpan w:val="2"/>
            <w:vMerge w:val="restart"/>
          </w:tcPr>
          <w:p>
            <w:pPr>
              <w:spacing w:after="0"/>
              <w:rPr>
                <w:sz w:val="20"/>
                <w:szCs w:val="20"/>
                <w:color w:val="auto"/>
              </w:rPr>
            </w:pPr>
            <w:r>
              <w:rPr>
                <w:rFonts w:ascii="Arial" w:cs="Arial" w:eastAsia="Arial" w:hAnsi="Arial"/>
                <w:sz w:val="16"/>
                <w:szCs w:val="16"/>
                <w:color w:val="auto"/>
              </w:rPr>
              <w:t>Period</w:t>
            </w:r>
          </w:p>
        </w:tc>
        <w:tc>
          <w:tcPr>
            <w:tcW w:w="3140" w:type="dxa"/>
            <w:vAlign w:val="bottom"/>
            <w:gridSpan w:val="2"/>
            <w:vMerge w:val="continue"/>
          </w:tcPr>
          <w:p>
            <w:pPr>
              <w:spacing w:after="0"/>
              <w:rPr>
                <w:sz w:val="14"/>
                <w:szCs w:val="14"/>
                <w:color w:val="auto"/>
              </w:rPr>
            </w:pPr>
          </w:p>
        </w:tc>
        <w:tc>
          <w:tcPr>
            <w:tcW w:w="2680" w:type="dxa"/>
            <w:vAlign w:val="bottom"/>
          </w:tcPr>
          <w:p>
            <w:pPr>
              <w:jc w:val="center"/>
              <w:ind w:right="39"/>
              <w:spacing w:after="0" w:line="162" w:lineRule="exact"/>
              <w:rPr>
                <w:sz w:val="20"/>
                <w:szCs w:val="20"/>
                <w:color w:val="auto"/>
              </w:rPr>
            </w:pPr>
            <w:r>
              <w:rPr>
                <w:rFonts w:ascii="Arial" w:cs="Arial" w:eastAsia="Arial" w:hAnsi="Arial"/>
                <w:sz w:val="16"/>
                <w:szCs w:val="16"/>
                <w:color w:val="auto"/>
              </w:rPr>
              <w:t>as part of publicly announced</w:t>
            </w:r>
          </w:p>
        </w:tc>
        <w:tc>
          <w:tcPr>
            <w:tcW w:w="2080" w:type="dxa"/>
            <w:vAlign w:val="bottom"/>
          </w:tcPr>
          <w:p>
            <w:pPr>
              <w:jc w:val="center"/>
              <w:ind w:right="39"/>
              <w:spacing w:after="0" w:line="162" w:lineRule="exact"/>
              <w:rPr>
                <w:sz w:val="20"/>
                <w:szCs w:val="20"/>
                <w:color w:val="auto"/>
              </w:rPr>
            </w:pPr>
            <w:r>
              <w:rPr>
                <w:rFonts w:ascii="Arial" w:cs="Arial" w:eastAsia="Arial" w:hAnsi="Arial"/>
                <w:sz w:val="16"/>
                <w:szCs w:val="16"/>
                <w:color w:val="auto"/>
              </w:rPr>
              <w:t>under the program (in</w:t>
            </w:r>
          </w:p>
        </w:tc>
        <w:tc>
          <w:tcPr>
            <w:tcW w:w="0" w:type="dxa"/>
            <w:vAlign w:val="bottom"/>
          </w:tcPr>
          <w:p>
            <w:pPr>
              <w:spacing w:after="0"/>
              <w:rPr>
                <w:sz w:val="1"/>
                <w:szCs w:val="1"/>
                <w:color w:val="auto"/>
              </w:rPr>
            </w:pPr>
          </w:p>
        </w:tc>
      </w:tr>
      <w:tr>
        <w:trPr>
          <w:trHeight w:val="175"/>
        </w:trPr>
        <w:tc>
          <w:tcPr>
            <w:tcW w:w="1440" w:type="dxa"/>
            <w:vAlign w:val="bottom"/>
          </w:tcPr>
          <w:p>
            <w:pPr>
              <w:spacing w:after="0"/>
              <w:rPr>
                <w:sz w:val="15"/>
                <w:szCs w:val="15"/>
                <w:color w:val="auto"/>
              </w:rPr>
            </w:pPr>
          </w:p>
        </w:tc>
        <w:tc>
          <w:tcPr>
            <w:tcW w:w="1900" w:type="dxa"/>
            <w:vAlign w:val="bottom"/>
            <w:gridSpan w:val="2"/>
            <w:vMerge w:val="continue"/>
          </w:tcPr>
          <w:p>
            <w:pPr>
              <w:spacing w:after="0"/>
              <w:rPr>
                <w:sz w:val="15"/>
                <w:szCs w:val="15"/>
                <w:color w:val="auto"/>
              </w:rPr>
            </w:pPr>
          </w:p>
        </w:tc>
        <w:tc>
          <w:tcPr>
            <w:tcW w:w="1880" w:type="dxa"/>
            <w:vAlign w:val="bottom"/>
          </w:tcPr>
          <w:p>
            <w:pPr>
              <w:ind w:left="480"/>
              <w:spacing w:after="0" w:line="175" w:lineRule="exact"/>
              <w:rPr>
                <w:sz w:val="20"/>
                <w:szCs w:val="20"/>
                <w:color w:val="auto"/>
              </w:rPr>
            </w:pPr>
            <w:r>
              <w:rPr>
                <w:rFonts w:ascii="Arial" w:cs="Arial" w:eastAsia="Arial" w:hAnsi="Arial"/>
                <w:sz w:val="16"/>
                <w:szCs w:val="16"/>
                <w:color w:val="auto"/>
              </w:rPr>
              <w:t>purchased</w:t>
            </w:r>
          </w:p>
        </w:tc>
        <w:tc>
          <w:tcPr>
            <w:tcW w:w="1260" w:type="dxa"/>
            <w:vAlign w:val="bottom"/>
          </w:tcPr>
          <w:p>
            <w:pPr>
              <w:ind w:left="220"/>
              <w:spacing w:after="0" w:line="175" w:lineRule="exact"/>
              <w:rPr>
                <w:sz w:val="20"/>
                <w:szCs w:val="20"/>
                <w:color w:val="auto"/>
              </w:rPr>
            </w:pPr>
            <w:r>
              <w:rPr>
                <w:rFonts w:ascii="Arial" w:cs="Arial" w:eastAsia="Arial" w:hAnsi="Arial"/>
                <w:sz w:val="16"/>
                <w:szCs w:val="16"/>
                <w:color w:val="auto"/>
              </w:rPr>
              <w:t>per share</w:t>
            </w:r>
          </w:p>
        </w:tc>
        <w:tc>
          <w:tcPr>
            <w:tcW w:w="2680" w:type="dxa"/>
            <w:vAlign w:val="bottom"/>
          </w:tcPr>
          <w:p>
            <w:pPr>
              <w:jc w:val="center"/>
              <w:ind w:right="39"/>
              <w:spacing w:after="0" w:line="175" w:lineRule="exact"/>
              <w:rPr>
                <w:sz w:val="20"/>
                <w:szCs w:val="20"/>
                <w:color w:val="auto"/>
              </w:rPr>
            </w:pPr>
            <w:r>
              <w:rPr>
                <w:rFonts w:ascii="Arial" w:cs="Arial" w:eastAsia="Arial" w:hAnsi="Arial"/>
                <w:sz w:val="16"/>
                <w:szCs w:val="16"/>
                <w:color w:val="auto"/>
              </w:rPr>
              <w:t>program</w:t>
            </w:r>
          </w:p>
        </w:tc>
        <w:tc>
          <w:tcPr>
            <w:tcW w:w="2080" w:type="dxa"/>
            <w:vAlign w:val="bottom"/>
          </w:tcPr>
          <w:p>
            <w:pPr>
              <w:jc w:val="center"/>
              <w:ind w:right="39"/>
              <w:spacing w:after="0" w:line="175" w:lineRule="exact"/>
              <w:rPr>
                <w:sz w:val="20"/>
                <w:szCs w:val="20"/>
                <w:color w:val="auto"/>
              </w:rPr>
            </w:pPr>
            <w:r>
              <w:rPr>
                <w:rFonts w:ascii="Arial" w:cs="Arial" w:eastAsia="Arial" w:hAnsi="Arial"/>
                <w:sz w:val="16"/>
                <w:szCs w:val="16"/>
                <w:color w:val="auto"/>
              </w:rPr>
              <w:t>thousands)</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340" w:type="dxa"/>
            <w:vAlign w:val="bottom"/>
            <w:gridSpan w:val="3"/>
            <w:vMerge w:val="restart"/>
          </w:tcPr>
          <w:p>
            <w:pPr>
              <w:ind w:left="20"/>
              <w:spacing w:after="0"/>
              <w:rPr>
                <w:sz w:val="20"/>
                <w:szCs w:val="20"/>
                <w:color w:val="auto"/>
              </w:rPr>
            </w:pPr>
            <w:r>
              <w:rPr>
                <w:rFonts w:ascii="Arial" w:cs="Arial" w:eastAsia="Arial" w:hAnsi="Arial"/>
                <w:sz w:val="16"/>
                <w:szCs w:val="16"/>
                <w:color w:val="auto"/>
              </w:rPr>
              <w:t>July 1 to July 31, 2026</w:t>
            </w:r>
          </w:p>
        </w:tc>
        <w:tc>
          <w:tcPr>
            <w:tcW w:w="18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3340" w:type="dxa"/>
            <w:vAlign w:val="bottom"/>
            <w:gridSpan w:val="3"/>
            <w:vMerge w:val="continue"/>
          </w:tcPr>
          <w:p>
            <w:pPr>
              <w:spacing w:after="0"/>
              <w:rPr>
                <w:sz w:val="18"/>
                <w:szCs w:val="18"/>
                <w:color w:val="auto"/>
              </w:rPr>
            </w:pPr>
          </w:p>
        </w:tc>
        <w:tc>
          <w:tcPr>
            <w:tcW w:w="1880" w:type="dxa"/>
            <w:vAlign w:val="bottom"/>
          </w:tcPr>
          <w:p>
            <w:pPr>
              <w:jc w:val="center"/>
              <w:ind w:left="1199"/>
              <w:spacing w:after="0"/>
              <w:rPr>
                <w:sz w:val="20"/>
                <w:szCs w:val="20"/>
                <w:color w:val="auto"/>
              </w:rPr>
            </w:pPr>
            <w:r>
              <w:rPr>
                <w:rFonts w:ascii="Arial" w:cs="Arial" w:eastAsia="Arial" w:hAnsi="Arial"/>
                <w:sz w:val="16"/>
                <w:szCs w:val="16"/>
                <w:color w:val="auto"/>
                <w:w w:val="99"/>
              </w:rPr>
              <w:t>—</w:t>
            </w:r>
          </w:p>
        </w:tc>
        <w:tc>
          <w:tcPr>
            <w:tcW w:w="1260" w:type="dxa"/>
            <w:vAlign w:val="bottom"/>
          </w:tcPr>
          <w:p>
            <w:pPr>
              <w:ind w:left="1020"/>
              <w:spacing w:after="0"/>
              <w:rPr>
                <w:sz w:val="20"/>
                <w:szCs w:val="20"/>
                <w:color w:val="auto"/>
              </w:rPr>
            </w:pPr>
            <w:r>
              <w:rPr>
                <w:rFonts w:ascii="Arial" w:cs="Arial" w:eastAsia="Arial" w:hAnsi="Arial"/>
                <w:sz w:val="16"/>
                <w:szCs w:val="16"/>
                <w:color w:val="auto"/>
              </w:rPr>
              <w:t>—</w:t>
            </w:r>
          </w:p>
        </w:tc>
        <w:tc>
          <w:tcPr>
            <w:tcW w:w="2680" w:type="dxa"/>
            <w:vAlign w:val="bottom"/>
          </w:tcPr>
          <w:p>
            <w:pPr>
              <w:ind w:left="2320"/>
              <w:spacing w:after="0"/>
              <w:rPr>
                <w:sz w:val="20"/>
                <w:szCs w:val="20"/>
                <w:color w:val="auto"/>
              </w:rPr>
            </w:pPr>
            <w:r>
              <w:rPr>
                <w:rFonts w:ascii="Arial" w:cs="Arial" w:eastAsia="Arial" w:hAnsi="Arial"/>
                <w:sz w:val="16"/>
                <w:szCs w:val="16"/>
                <w:color w:val="auto"/>
              </w:rPr>
              <w:t>—</w:t>
            </w:r>
          </w:p>
        </w:tc>
        <w:tc>
          <w:tcPr>
            <w:tcW w:w="2080" w:type="dxa"/>
            <w:vAlign w:val="bottom"/>
          </w:tcPr>
          <w:p>
            <w:pPr>
              <w:jc w:val="right"/>
              <w:spacing w:after="0"/>
              <w:rPr>
                <w:sz w:val="20"/>
                <w:szCs w:val="20"/>
                <w:color w:val="auto"/>
              </w:rPr>
            </w:pPr>
            <w:r>
              <w:rPr>
                <w:rFonts w:ascii="Arial" w:cs="Arial" w:eastAsia="Arial" w:hAnsi="Arial"/>
                <w:sz w:val="16"/>
                <w:szCs w:val="16"/>
                <w:color w:val="auto"/>
              </w:rPr>
              <w:t>76,655</w:t>
            </w:r>
          </w:p>
        </w:tc>
        <w:tc>
          <w:tcPr>
            <w:tcW w:w="0" w:type="dxa"/>
            <w:vAlign w:val="bottom"/>
          </w:tcPr>
          <w:p>
            <w:pPr>
              <w:spacing w:after="0"/>
              <w:rPr>
                <w:sz w:val="1"/>
                <w:szCs w:val="1"/>
                <w:color w:val="auto"/>
              </w:rPr>
            </w:pPr>
          </w:p>
        </w:tc>
      </w:tr>
      <w:tr>
        <w:trPr>
          <w:trHeight w:val="215"/>
        </w:trPr>
        <w:tc>
          <w:tcPr>
            <w:tcW w:w="3340" w:type="dxa"/>
            <w:vAlign w:val="bottom"/>
            <w:gridSpan w:val="3"/>
          </w:tcPr>
          <w:p>
            <w:pPr>
              <w:ind w:left="20"/>
              <w:spacing w:after="0"/>
              <w:rPr>
                <w:sz w:val="20"/>
                <w:szCs w:val="20"/>
                <w:color w:val="auto"/>
              </w:rPr>
            </w:pPr>
            <w:r>
              <w:rPr>
                <w:rFonts w:ascii="Arial" w:cs="Arial" w:eastAsia="Arial" w:hAnsi="Arial"/>
                <w:sz w:val="16"/>
                <w:szCs w:val="16"/>
                <w:color w:val="auto"/>
              </w:rPr>
              <w:t>August 1 to August 31, 2026</w:t>
            </w:r>
          </w:p>
        </w:tc>
        <w:tc>
          <w:tcPr>
            <w:tcW w:w="1880" w:type="dxa"/>
            <w:vAlign w:val="bottom"/>
          </w:tcPr>
          <w:p>
            <w:pPr>
              <w:jc w:val="center"/>
              <w:ind w:left="1199"/>
              <w:spacing w:after="0"/>
              <w:rPr>
                <w:sz w:val="20"/>
                <w:szCs w:val="20"/>
                <w:color w:val="auto"/>
              </w:rPr>
            </w:pPr>
            <w:r>
              <w:rPr>
                <w:rFonts w:ascii="Arial" w:cs="Arial" w:eastAsia="Arial" w:hAnsi="Arial"/>
                <w:sz w:val="16"/>
                <w:szCs w:val="16"/>
                <w:color w:val="auto"/>
                <w:w w:val="99"/>
              </w:rPr>
              <w:t>—</w:t>
            </w:r>
          </w:p>
        </w:tc>
        <w:tc>
          <w:tcPr>
            <w:tcW w:w="1260" w:type="dxa"/>
            <w:vAlign w:val="bottom"/>
          </w:tcPr>
          <w:p>
            <w:pPr>
              <w:ind w:left="1020"/>
              <w:spacing w:after="0"/>
              <w:rPr>
                <w:sz w:val="20"/>
                <w:szCs w:val="20"/>
                <w:color w:val="auto"/>
              </w:rPr>
            </w:pPr>
            <w:r>
              <w:rPr>
                <w:rFonts w:ascii="Arial" w:cs="Arial" w:eastAsia="Arial" w:hAnsi="Arial"/>
                <w:sz w:val="16"/>
                <w:szCs w:val="16"/>
                <w:color w:val="auto"/>
              </w:rPr>
              <w:t>—</w:t>
            </w:r>
          </w:p>
        </w:tc>
        <w:tc>
          <w:tcPr>
            <w:tcW w:w="2680" w:type="dxa"/>
            <w:vAlign w:val="bottom"/>
          </w:tcPr>
          <w:p>
            <w:pPr>
              <w:ind w:left="2320"/>
              <w:spacing w:after="0"/>
              <w:rPr>
                <w:sz w:val="20"/>
                <w:szCs w:val="20"/>
                <w:color w:val="auto"/>
              </w:rPr>
            </w:pPr>
            <w:r>
              <w:rPr>
                <w:rFonts w:ascii="Arial" w:cs="Arial" w:eastAsia="Arial" w:hAnsi="Arial"/>
                <w:sz w:val="16"/>
                <w:szCs w:val="16"/>
                <w:color w:val="auto"/>
              </w:rPr>
              <w:t>—</w:t>
            </w:r>
          </w:p>
        </w:tc>
        <w:tc>
          <w:tcPr>
            <w:tcW w:w="2080" w:type="dxa"/>
            <w:vAlign w:val="bottom"/>
          </w:tcPr>
          <w:p>
            <w:pPr>
              <w:jc w:val="right"/>
              <w:spacing w:after="0"/>
              <w:rPr>
                <w:sz w:val="20"/>
                <w:szCs w:val="20"/>
                <w:color w:val="auto"/>
              </w:rPr>
            </w:pPr>
            <w:r>
              <w:rPr>
                <w:rFonts w:ascii="Arial" w:cs="Arial" w:eastAsia="Arial" w:hAnsi="Arial"/>
                <w:sz w:val="16"/>
                <w:szCs w:val="16"/>
                <w:color w:val="auto"/>
              </w:rPr>
              <w:t>76,655</w:t>
            </w:r>
          </w:p>
        </w:tc>
        <w:tc>
          <w:tcPr>
            <w:tcW w:w="0" w:type="dxa"/>
            <w:vAlign w:val="bottom"/>
          </w:tcPr>
          <w:p>
            <w:pPr>
              <w:spacing w:after="0"/>
              <w:rPr>
                <w:sz w:val="1"/>
                <w:szCs w:val="1"/>
                <w:color w:val="auto"/>
              </w:rPr>
            </w:pPr>
          </w:p>
        </w:tc>
      </w:tr>
      <w:tr>
        <w:trPr>
          <w:trHeight w:val="218"/>
        </w:trPr>
        <w:tc>
          <w:tcPr>
            <w:tcW w:w="334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color w:val="auto"/>
              </w:rPr>
              <w:t>September 1 to September 30, 2026</w:t>
            </w:r>
          </w:p>
        </w:tc>
        <w:tc>
          <w:tcPr>
            <w:tcW w:w="1880" w:type="dxa"/>
            <w:vAlign w:val="bottom"/>
          </w:tcPr>
          <w:p>
            <w:pPr>
              <w:jc w:val="center"/>
              <w:ind w:left="1199"/>
              <w:spacing w:after="0"/>
              <w:rPr>
                <w:sz w:val="20"/>
                <w:szCs w:val="20"/>
                <w:color w:val="auto"/>
              </w:rPr>
            </w:pPr>
            <w:r>
              <w:rPr>
                <w:rFonts w:ascii="Arial" w:cs="Arial" w:eastAsia="Arial" w:hAnsi="Arial"/>
                <w:sz w:val="16"/>
                <w:szCs w:val="16"/>
                <w:color w:val="auto"/>
                <w:w w:val="99"/>
              </w:rPr>
              <w:t>—</w:t>
            </w:r>
          </w:p>
        </w:tc>
        <w:tc>
          <w:tcPr>
            <w:tcW w:w="1260" w:type="dxa"/>
            <w:vAlign w:val="bottom"/>
          </w:tcPr>
          <w:p>
            <w:pPr>
              <w:ind w:left="1020"/>
              <w:spacing w:after="0"/>
              <w:rPr>
                <w:sz w:val="20"/>
                <w:szCs w:val="20"/>
                <w:color w:val="auto"/>
              </w:rPr>
            </w:pPr>
            <w:r>
              <w:rPr>
                <w:rFonts w:ascii="Arial" w:cs="Arial" w:eastAsia="Arial" w:hAnsi="Arial"/>
                <w:sz w:val="16"/>
                <w:szCs w:val="16"/>
                <w:color w:val="auto"/>
              </w:rPr>
              <w:t>—</w:t>
            </w:r>
          </w:p>
        </w:tc>
        <w:tc>
          <w:tcPr>
            <w:tcW w:w="2680" w:type="dxa"/>
            <w:vAlign w:val="bottom"/>
          </w:tcPr>
          <w:p>
            <w:pPr>
              <w:ind w:left="2320"/>
              <w:spacing w:after="0"/>
              <w:rPr>
                <w:sz w:val="20"/>
                <w:szCs w:val="20"/>
                <w:color w:val="auto"/>
              </w:rPr>
            </w:pPr>
            <w:r>
              <w:rPr>
                <w:rFonts w:ascii="Arial" w:cs="Arial" w:eastAsia="Arial" w:hAnsi="Arial"/>
                <w:sz w:val="16"/>
                <w:szCs w:val="16"/>
                <w:color w:val="auto"/>
              </w:rPr>
              <w:t>—</w:t>
            </w:r>
          </w:p>
        </w:tc>
        <w:tc>
          <w:tcPr>
            <w:tcW w:w="2080" w:type="dxa"/>
            <w:vAlign w:val="bottom"/>
          </w:tcPr>
          <w:p>
            <w:pPr>
              <w:jc w:val="right"/>
              <w:spacing w:after="0"/>
              <w:rPr>
                <w:sz w:val="20"/>
                <w:szCs w:val="20"/>
                <w:color w:val="auto"/>
              </w:rPr>
            </w:pPr>
            <w:r>
              <w:rPr>
                <w:rFonts w:ascii="Arial" w:cs="Arial" w:eastAsia="Arial" w:hAnsi="Arial"/>
                <w:sz w:val="16"/>
                <w:szCs w:val="16"/>
                <w:b w:val="1"/>
                <w:bCs w:val="1"/>
                <w:color w:val="auto"/>
              </w:rPr>
              <w:t>76,655</w:t>
            </w:r>
          </w:p>
        </w:tc>
        <w:tc>
          <w:tcPr>
            <w:tcW w:w="0" w:type="dxa"/>
            <w:vAlign w:val="bottom"/>
          </w:tcPr>
          <w:p>
            <w:pPr>
              <w:spacing w:after="0"/>
              <w:rPr>
                <w:sz w:val="1"/>
                <w:szCs w:val="1"/>
                <w:color w:val="auto"/>
              </w:rPr>
            </w:pPr>
          </w:p>
        </w:tc>
      </w:tr>
      <w:tr>
        <w:trPr>
          <w:trHeight w:val="209"/>
        </w:trPr>
        <w:tc>
          <w:tcPr>
            <w:tcW w:w="334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color w:val="auto"/>
              </w:rPr>
              <w:t>Total</w:t>
            </w:r>
          </w:p>
        </w:tc>
        <w:tc>
          <w:tcPr>
            <w:tcW w:w="1880" w:type="dxa"/>
            <w:vAlign w:val="bottom"/>
            <w:tcBorders>
              <w:bottom w:val="single" w:sz="8" w:color="auto"/>
            </w:tcBorders>
          </w:tcPr>
          <w:p>
            <w:pPr>
              <w:jc w:val="center"/>
              <w:ind w:left="1199"/>
              <w:spacing w:after="0"/>
              <w:rPr>
                <w:sz w:val="20"/>
                <w:szCs w:val="20"/>
                <w:color w:val="auto"/>
              </w:rPr>
            </w:pPr>
            <w:r>
              <w:rPr>
                <w:rFonts w:ascii="Arial" w:cs="Arial" w:eastAsia="Arial" w:hAnsi="Arial"/>
                <w:sz w:val="16"/>
                <w:szCs w:val="16"/>
                <w:color w:val="auto"/>
                <w:w w:val="99"/>
              </w:rPr>
              <w:t>—</w:t>
            </w:r>
          </w:p>
        </w:tc>
        <w:tc>
          <w:tcPr>
            <w:tcW w:w="126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2680" w:type="dxa"/>
            <w:vAlign w:val="bottom"/>
            <w:tcBorders>
              <w:bottom w:val="single" w:sz="8" w:color="auto"/>
            </w:tcBorders>
          </w:tcPr>
          <w:p>
            <w:pPr>
              <w:ind w:left="2320"/>
              <w:spacing w:after="0"/>
              <w:rPr>
                <w:sz w:val="20"/>
                <w:szCs w:val="20"/>
                <w:color w:val="auto"/>
              </w:rPr>
            </w:pPr>
            <w:r>
              <w:rPr>
                <w:rFonts w:ascii="Arial" w:cs="Arial" w:eastAsia="Arial" w:hAnsi="Arial"/>
                <w:sz w:val="16"/>
                <w:szCs w:val="16"/>
                <w:color w:val="auto"/>
              </w:rPr>
              <w:t>— $</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76,655</w:t>
            </w:r>
          </w:p>
        </w:tc>
        <w:tc>
          <w:tcPr>
            <w:tcW w:w="0" w:type="dxa"/>
            <w:vAlign w:val="bottom"/>
          </w:tcPr>
          <w:p>
            <w:pPr>
              <w:spacing w:after="0"/>
              <w:rPr>
                <w:sz w:val="1"/>
                <w:szCs w:val="1"/>
                <w:color w:val="auto"/>
              </w:rPr>
            </w:pPr>
          </w:p>
        </w:tc>
      </w:tr>
      <w:tr>
        <w:trPr>
          <w:trHeight w:val="21"/>
        </w:trPr>
        <w:tc>
          <w:tcPr>
            <w:tcW w:w="1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February 21, 2025, the Company's Board of Directors authorized the Company to repurchase shares up to $ 250 million (excluding any fees, commissions, taxes or other expenses related to such purchases), which replaces the 2021 authorization. Share purchases may be made through open market purchases, privately negotiated transactions or otherwise. The program does not obligate the Company to acquire any particular amount of common stock, and it may be suspended or terminated at any time at the Company's discretion. The timing and amount of any share repurchases will be based on the Company’s liquidity, general business and market conditions, debt covenant restrictions and other factors, including alternative investment opportunities and capital structure. The Company has not repurchased shares in 2026. As of September 30, 2026, we were authorized to repurchase shares up to $76.7 million.</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40" w:name="page41"/>
    <w:bookmarkEnd w:id="40"/>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Trading Plans of Directors and Executive Officers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nine months ended September 30, 2026, none of our directors or executive officers adopted or terminated any contract, instruction or written plan for the purchase or sale of Albany International Corp. securities that was intended to satisfy the affirmative defense conditions of Rule 10b5-1(c) or any “non-Rule 10b5-1 trading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6. Exhibits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240" w:type="dxa"/>
            <w:vAlign w:val="bottom"/>
          </w:tcPr>
          <w:p>
            <w:pPr>
              <w:ind w:left="20"/>
              <w:spacing w:after="0"/>
              <w:rPr>
                <w:sz w:val="20"/>
                <w:szCs w:val="20"/>
                <w:color w:val="auto"/>
              </w:rPr>
            </w:pPr>
            <w:r>
              <w:rPr>
                <w:rFonts w:ascii="Arial" w:cs="Arial" w:eastAsia="Arial" w:hAnsi="Arial"/>
                <w:sz w:val="16"/>
                <w:szCs w:val="16"/>
                <w:color w:val="auto"/>
              </w:rPr>
              <w:t>Exhibit No.</w:t>
            </w:r>
          </w:p>
        </w:tc>
        <w:tc>
          <w:tcPr>
            <w:tcW w:w="10000" w:type="dxa"/>
            <w:vAlign w:val="bottom"/>
            <w:gridSpan w:val="5"/>
          </w:tcPr>
          <w:p>
            <w:pPr>
              <w:ind w:left="20"/>
              <w:spacing w:after="0"/>
              <w:rPr>
                <w:sz w:val="20"/>
                <w:szCs w:val="20"/>
                <w:color w:val="auto"/>
              </w:rPr>
            </w:pPr>
            <w:r>
              <w:rPr>
                <w:rFonts w:ascii="Arial" w:cs="Arial" w:eastAsia="Arial" w:hAnsi="Arial"/>
                <w:sz w:val="16"/>
                <w:szCs w:val="16"/>
                <w:color w:val="auto"/>
              </w:rPr>
              <w:t>Description</w:t>
            </w:r>
          </w:p>
        </w:tc>
        <w:tc>
          <w:tcPr>
            <w:tcW w:w="0" w:type="dxa"/>
            <w:vAlign w:val="bottom"/>
          </w:tcPr>
          <w:p>
            <w:pPr>
              <w:spacing w:after="0"/>
              <w:rPr>
                <w:sz w:val="1"/>
                <w:szCs w:val="1"/>
                <w:color w:val="auto"/>
              </w:rPr>
            </w:pPr>
          </w:p>
        </w:tc>
      </w:tr>
      <w:tr>
        <w:trPr>
          <w:trHeight w:val="198"/>
        </w:trPr>
        <w:tc>
          <w:tcPr>
            <w:tcW w:w="1240" w:type="dxa"/>
            <w:vAlign w:val="bottom"/>
          </w:tcPr>
          <w:p>
            <w:pPr>
              <w:ind w:left="20"/>
              <w:spacing w:after="0" w:line="178" w:lineRule="exact"/>
              <w:rPr>
                <w:sz w:val="20"/>
                <w:szCs w:val="20"/>
                <w:color w:val="auto"/>
              </w:rPr>
            </w:pPr>
            <w:r>
              <w:rPr>
                <w:rFonts w:ascii="Arial" w:cs="Arial" w:eastAsia="Arial" w:hAnsi="Arial"/>
                <w:sz w:val="16"/>
                <w:szCs w:val="16"/>
                <w:color w:val="auto"/>
              </w:rPr>
              <w:t>31.1</w:t>
            </w:r>
          </w:p>
        </w:tc>
        <w:tc>
          <w:tcPr>
            <w:tcW w:w="7300" w:type="dxa"/>
            <w:vAlign w:val="bottom"/>
            <w:tcBorders>
              <w:left w:val="single" w:sz="8" w:color="CCEEFF"/>
              <w:bottom w:val="single" w:sz="8" w:color="0000FF"/>
            </w:tcBorders>
            <w:gridSpan w:val="3"/>
            <w:shd w:val="clear" w:color="auto" w:fill="CCEEFF"/>
          </w:tcPr>
          <w:p>
            <w:pPr>
              <w:ind w:left="20"/>
              <w:spacing w:after="0" w:line="178" w:lineRule="exact"/>
              <w:rPr>
                <w:sz w:val="20"/>
                <w:szCs w:val="20"/>
                <w:color w:val="auto"/>
              </w:rPr>
            </w:pPr>
            <w:r>
              <w:rPr>
                <w:rFonts w:ascii="Arial" w:cs="Arial" w:eastAsia="Arial" w:hAnsi="Arial"/>
                <w:sz w:val="16"/>
                <w:szCs w:val="16"/>
                <w:color w:val="0000FF"/>
              </w:rPr>
              <w:t>Certification of the Chief Executive Officer pursuant to Rule 13a-14(a)/15d-14(a) of the Exchange Act.</w:t>
            </w:r>
          </w:p>
        </w:tc>
        <w:tc>
          <w:tcPr>
            <w:tcW w:w="2700" w:type="dxa"/>
            <w:vAlign w:val="bottom"/>
            <w:tcBorders>
              <w:bottom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240" w:type="dxa"/>
            <w:vAlign w:val="bottom"/>
          </w:tcPr>
          <w:p>
            <w:pPr>
              <w:ind w:left="20"/>
              <w:spacing w:after="0" w:line="175" w:lineRule="exact"/>
              <w:rPr>
                <w:sz w:val="20"/>
                <w:szCs w:val="20"/>
                <w:color w:val="auto"/>
              </w:rPr>
            </w:pPr>
            <w:r>
              <w:rPr>
                <w:rFonts w:ascii="Arial" w:cs="Arial" w:eastAsia="Arial" w:hAnsi="Arial"/>
                <w:sz w:val="16"/>
                <w:szCs w:val="16"/>
                <w:color w:val="auto"/>
              </w:rPr>
              <w:t>31.2</w:t>
            </w:r>
          </w:p>
        </w:tc>
        <w:tc>
          <w:tcPr>
            <w:tcW w:w="10000" w:type="dxa"/>
            <w:vAlign w:val="bottom"/>
            <w:gridSpan w:val="5"/>
          </w:tcPr>
          <w:p>
            <w:pPr>
              <w:ind w:left="20"/>
              <w:spacing w:after="0" w:line="175" w:lineRule="exact"/>
              <w:rPr>
                <w:sz w:val="20"/>
                <w:szCs w:val="20"/>
                <w:color w:val="auto"/>
              </w:rPr>
            </w:pPr>
            <w:r>
              <w:rPr>
                <w:rFonts w:ascii="Arial" w:cs="Arial" w:eastAsia="Arial" w:hAnsi="Arial"/>
                <w:sz w:val="16"/>
                <w:szCs w:val="16"/>
                <w:color w:val="0000FF"/>
              </w:rPr>
              <w:t>Certification of the Chief Financial Officer pursuant to Rule 13a-14(a)/15d-14(a) of the Exchange Act.</w:t>
            </w:r>
          </w:p>
        </w:tc>
        <w:tc>
          <w:tcPr>
            <w:tcW w:w="0" w:type="dxa"/>
            <w:vAlign w:val="bottom"/>
          </w:tcPr>
          <w:p>
            <w:pPr>
              <w:spacing w:after="0"/>
              <w:rPr>
                <w:sz w:val="1"/>
                <w:szCs w:val="1"/>
                <w:color w:val="auto"/>
              </w:rPr>
            </w:pPr>
          </w:p>
        </w:tc>
      </w:tr>
      <w:tr>
        <w:trPr>
          <w:trHeight w:val="21"/>
        </w:trPr>
        <w:tc>
          <w:tcPr>
            <w:tcW w:w="1240" w:type="dxa"/>
            <w:vAlign w:val="bottom"/>
            <w:vMerge w:val="restart"/>
          </w:tcPr>
          <w:p>
            <w:pPr>
              <w:ind w:left="20"/>
              <w:spacing w:after="0"/>
              <w:rPr>
                <w:sz w:val="20"/>
                <w:szCs w:val="20"/>
                <w:color w:val="auto"/>
              </w:rPr>
            </w:pPr>
            <w:r>
              <w:rPr>
                <w:rFonts w:ascii="Arial" w:cs="Arial" w:eastAsia="Arial" w:hAnsi="Arial"/>
                <w:sz w:val="16"/>
                <w:szCs w:val="16"/>
                <w:color w:val="auto"/>
              </w:rPr>
              <w:t>32.1</w:t>
            </w:r>
          </w:p>
        </w:tc>
        <w:tc>
          <w:tcPr>
            <w:tcW w:w="1540" w:type="dxa"/>
            <w:vAlign w:val="bottom"/>
            <w:tcBorders>
              <w:top w:val="single" w:sz="8" w:color="0000FF"/>
            </w:tcBorders>
          </w:tcPr>
          <w:p>
            <w:pPr>
              <w:spacing w:after="0" w:line="20" w:lineRule="exact"/>
              <w:rPr>
                <w:sz w:val="1"/>
                <w:szCs w:val="1"/>
                <w:color w:val="auto"/>
              </w:rPr>
            </w:pPr>
          </w:p>
        </w:tc>
        <w:tc>
          <w:tcPr>
            <w:tcW w:w="57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240" w:type="dxa"/>
            <w:vAlign w:val="bottom"/>
            <w:vMerge w:val="continue"/>
          </w:tcPr>
          <w:p>
            <w:pPr>
              <w:spacing w:after="0"/>
              <w:rPr>
                <w:sz w:val="15"/>
                <w:szCs w:val="15"/>
                <w:color w:val="auto"/>
              </w:rPr>
            </w:pPr>
          </w:p>
        </w:tc>
        <w:tc>
          <w:tcPr>
            <w:tcW w:w="10000" w:type="dxa"/>
            <w:vAlign w:val="bottom"/>
            <w:tcBorders>
              <w:left w:val="single" w:sz="8" w:color="CCEEFF"/>
            </w:tcBorders>
            <w:gridSpan w:val="5"/>
            <w:shd w:val="clear" w:color="auto" w:fill="CCEEFF"/>
          </w:tcPr>
          <w:p>
            <w:pPr>
              <w:ind w:left="20"/>
              <w:spacing w:after="0" w:line="175" w:lineRule="exact"/>
              <w:rPr>
                <w:sz w:val="20"/>
                <w:szCs w:val="20"/>
                <w:color w:val="auto"/>
              </w:rPr>
            </w:pPr>
            <w:r>
              <w:rPr>
                <w:rFonts w:ascii="Arial" w:cs="Arial" w:eastAsia="Arial" w:hAnsi="Arial"/>
                <w:sz w:val="16"/>
                <w:szCs w:val="16"/>
                <w:color w:val="0000FF"/>
              </w:rPr>
              <w:t>Certification pursuant to Section 906 of the Sarbanes-Oxley Act of 2002 (Subsections (a) and (b) of Section 1350, Chapter 63 of Title 18,</w:t>
            </w:r>
          </w:p>
        </w:tc>
        <w:tc>
          <w:tcPr>
            <w:tcW w:w="0" w:type="dxa"/>
            <w:vAlign w:val="bottom"/>
          </w:tcPr>
          <w:p>
            <w:pPr>
              <w:spacing w:after="0"/>
              <w:rPr>
                <w:sz w:val="1"/>
                <w:szCs w:val="1"/>
                <w:color w:val="auto"/>
              </w:rPr>
            </w:pPr>
          </w:p>
        </w:tc>
      </w:tr>
      <w:tr>
        <w:trPr>
          <w:trHeight w:val="163"/>
        </w:trPr>
        <w:tc>
          <w:tcPr>
            <w:tcW w:w="1240" w:type="dxa"/>
            <w:vAlign w:val="bottom"/>
          </w:tcPr>
          <w:p>
            <w:pPr>
              <w:spacing w:after="0"/>
              <w:rPr>
                <w:sz w:val="14"/>
                <w:szCs w:val="14"/>
                <w:color w:val="auto"/>
              </w:rPr>
            </w:pPr>
          </w:p>
        </w:tc>
        <w:tc>
          <w:tcPr>
            <w:tcW w:w="1540" w:type="dxa"/>
            <w:vAlign w:val="bottom"/>
            <w:tcBorders>
              <w:top w:val="single" w:sz="8" w:color="0000FF"/>
              <w:left w:val="single" w:sz="8" w:color="CCEEFF"/>
              <w:bottom w:val="single" w:sz="8" w:color="0000FF"/>
            </w:tcBorders>
            <w:shd w:val="clear" w:color="auto" w:fill="CCEEFF"/>
          </w:tcPr>
          <w:p>
            <w:pPr>
              <w:ind w:left="20"/>
              <w:spacing w:after="0" w:line="142" w:lineRule="exact"/>
              <w:rPr>
                <w:sz w:val="20"/>
                <w:szCs w:val="20"/>
                <w:color w:val="auto"/>
              </w:rPr>
            </w:pPr>
            <w:r>
              <w:rPr>
                <w:rFonts w:ascii="Arial" w:cs="Arial" w:eastAsia="Arial" w:hAnsi="Arial"/>
                <w:sz w:val="16"/>
                <w:szCs w:val="16"/>
                <w:color w:val="0000FF"/>
              </w:rPr>
              <w:t>United States Code).</w:t>
            </w:r>
          </w:p>
        </w:tc>
        <w:tc>
          <w:tcPr>
            <w:tcW w:w="8260" w:type="dxa"/>
            <w:vAlign w:val="bottom"/>
            <w:tcBorders>
              <w:top w:val="single" w:sz="8" w:color="0000FF"/>
              <w:bottom w:val="single" w:sz="8" w:color="CCEEFF"/>
            </w:tcBorders>
            <w:gridSpan w:val="3"/>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40" w:type="dxa"/>
            <w:vAlign w:val="bottom"/>
          </w:tcPr>
          <w:p>
            <w:pPr>
              <w:ind w:left="20"/>
              <w:spacing w:after="0" w:line="162" w:lineRule="exact"/>
              <w:rPr>
                <w:sz w:val="20"/>
                <w:szCs w:val="20"/>
                <w:color w:val="auto"/>
              </w:rPr>
            </w:pPr>
            <w:r>
              <w:rPr>
                <w:rFonts w:ascii="Arial" w:cs="Arial" w:eastAsia="Arial" w:hAnsi="Arial"/>
                <w:sz w:val="16"/>
                <w:szCs w:val="16"/>
                <w:color w:val="auto"/>
              </w:rPr>
              <w:t>101.INS</w:t>
            </w:r>
          </w:p>
        </w:tc>
        <w:tc>
          <w:tcPr>
            <w:tcW w:w="10000" w:type="dxa"/>
            <w:vAlign w:val="bottom"/>
            <w:gridSpan w:val="5"/>
          </w:tcPr>
          <w:p>
            <w:pPr>
              <w:ind w:left="20"/>
              <w:spacing w:after="0" w:line="162" w:lineRule="exact"/>
              <w:rPr>
                <w:sz w:val="20"/>
                <w:szCs w:val="20"/>
                <w:color w:val="auto"/>
              </w:rPr>
            </w:pPr>
            <w:r>
              <w:rPr>
                <w:rFonts w:ascii="Arial" w:cs="Arial" w:eastAsia="Arial" w:hAnsi="Arial"/>
                <w:sz w:val="16"/>
                <w:szCs w:val="16"/>
                <w:color w:val="auto"/>
              </w:rPr>
              <w:t>XBRL Instance Document-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15"/>
        </w:trPr>
        <w:tc>
          <w:tcPr>
            <w:tcW w:w="1240" w:type="dxa"/>
            <w:vAlign w:val="bottom"/>
          </w:tcPr>
          <w:p>
            <w:pPr>
              <w:spacing w:after="0"/>
              <w:rPr>
                <w:sz w:val="18"/>
                <w:szCs w:val="18"/>
                <w:color w:val="auto"/>
              </w:rPr>
            </w:pPr>
          </w:p>
        </w:tc>
        <w:tc>
          <w:tcPr>
            <w:tcW w:w="10000" w:type="dxa"/>
            <w:vAlign w:val="bottom"/>
            <w:gridSpan w:val="5"/>
          </w:tcPr>
          <w:p>
            <w:pPr>
              <w:ind w:left="20"/>
              <w:spacing w:after="0"/>
              <w:rPr>
                <w:sz w:val="20"/>
                <w:szCs w:val="20"/>
                <w:color w:val="auto"/>
              </w:rPr>
            </w:pPr>
            <w:r>
              <w:rPr>
                <w:rFonts w:ascii="Arial" w:cs="Arial" w:eastAsia="Arial" w:hAnsi="Arial"/>
                <w:sz w:val="16"/>
                <w:szCs w:val="16"/>
                <w:color w:val="auto"/>
              </w:rPr>
              <w:t>within the Inline XBRL document.</w:t>
            </w:r>
          </w:p>
        </w:tc>
        <w:tc>
          <w:tcPr>
            <w:tcW w:w="0" w:type="dxa"/>
            <w:vAlign w:val="bottom"/>
          </w:tcPr>
          <w:p>
            <w:pPr>
              <w:spacing w:after="0"/>
              <w:rPr>
                <w:sz w:val="1"/>
                <w:szCs w:val="1"/>
                <w:color w:val="auto"/>
              </w:rPr>
            </w:pPr>
          </w:p>
        </w:tc>
      </w:tr>
      <w:tr>
        <w:trPr>
          <w:trHeight w:val="217"/>
        </w:trPr>
        <w:tc>
          <w:tcPr>
            <w:tcW w:w="1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101.SCH</w:t>
            </w:r>
          </w:p>
        </w:tc>
        <w:tc>
          <w:tcPr>
            <w:tcW w:w="10000" w:type="dxa"/>
            <w:vAlign w:val="bottom"/>
            <w:tcBorders>
              <w:left w:val="single" w:sz="8" w:color="CCEEFF"/>
            </w:tcBorders>
            <w:gridSpan w:val="5"/>
            <w:shd w:val="clear" w:color="auto" w:fill="CCEEFF"/>
          </w:tcPr>
          <w:p>
            <w:pPr>
              <w:ind w:left="20"/>
              <w:spacing w:after="0"/>
              <w:rPr>
                <w:sz w:val="20"/>
                <w:szCs w:val="20"/>
                <w:color w:val="auto"/>
              </w:rPr>
            </w:pPr>
            <w:r>
              <w:rPr>
                <w:rFonts w:ascii="Arial" w:cs="Arial" w:eastAsia="Arial" w:hAnsi="Arial"/>
                <w:sz w:val="16"/>
                <w:szCs w:val="16"/>
                <w:color w:val="auto"/>
              </w:rPr>
              <w:t>XBRL Taxonomy Extension Schema Document.</w:t>
            </w:r>
          </w:p>
        </w:tc>
        <w:tc>
          <w:tcPr>
            <w:tcW w:w="0" w:type="dxa"/>
            <w:vAlign w:val="bottom"/>
          </w:tcPr>
          <w:p>
            <w:pPr>
              <w:spacing w:after="0"/>
              <w:rPr>
                <w:sz w:val="1"/>
                <w:szCs w:val="1"/>
                <w:color w:val="auto"/>
              </w:rPr>
            </w:pPr>
          </w:p>
        </w:tc>
      </w:tr>
      <w:tr>
        <w:trPr>
          <w:trHeight w:val="215"/>
        </w:trPr>
        <w:tc>
          <w:tcPr>
            <w:tcW w:w="1240" w:type="dxa"/>
            <w:vAlign w:val="bottom"/>
          </w:tcPr>
          <w:p>
            <w:pPr>
              <w:ind w:left="20"/>
              <w:spacing w:after="0"/>
              <w:rPr>
                <w:sz w:val="20"/>
                <w:szCs w:val="20"/>
                <w:color w:val="auto"/>
              </w:rPr>
            </w:pPr>
            <w:r>
              <w:rPr>
                <w:rFonts w:ascii="Arial" w:cs="Arial" w:eastAsia="Arial" w:hAnsi="Arial"/>
                <w:sz w:val="16"/>
                <w:szCs w:val="16"/>
                <w:color w:val="auto"/>
              </w:rPr>
              <w:t>101.CAL</w:t>
            </w:r>
          </w:p>
        </w:tc>
        <w:tc>
          <w:tcPr>
            <w:tcW w:w="10000" w:type="dxa"/>
            <w:vAlign w:val="bottom"/>
            <w:gridSpan w:val="5"/>
          </w:tcPr>
          <w:p>
            <w:pPr>
              <w:ind w:left="20"/>
              <w:spacing w:after="0"/>
              <w:rPr>
                <w:sz w:val="20"/>
                <w:szCs w:val="20"/>
                <w:color w:val="auto"/>
              </w:rPr>
            </w:pPr>
            <w:r>
              <w:rPr>
                <w:rFonts w:ascii="Arial" w:cs="Arial" w:eastAsia="Arial" w:hAnsi="Arial"/>
                <w:sz w:val="16"/>
                <w:szCs w:val="16"/>
                <w:color w:val="auto"/>
              </w:rPr>
              <w:t>XBRL Taxonomy Extension Calculation Linkbase Document.</w:t>
            </w:r>
          </w:p>
        </w:tc>
        <w:tc>
          <w:tcPr>
            <w:tcW w:w="0" w:type="dxa"/>
            <w:vAlign w:val="bottom"/>
          </w:tcPr>
          <w:p>
            <w:pPr>
              <w:spacing w:after="0"/>
              <w:rPr>
                <w:sz w:val="1"/>
                <w:szCs w:val="1"/>
                <w:color w:val="auto"/>
              </w:rPr>
            </w:pPr>
          </w:p>
        </w:tc>
      </w:tr>
      <w:tr>
        <w:trPr>
          <w:trHeight w:val="217"/>
        </w:trPr>
        <w:tc>
          <w:tcPr>
            <w:tcW w:w="1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101.DEF</w:t>
            </w:r>
          </w:p>
        </w:tc>
        <w:tc>
          <w:tcPr>
            <w:tcW w:w="10000" w:type="dxa"/>
            <w:vAlign w:val="bottom"/>
            <w:tcBorders>
              <w:left w:val="single" w:sz="8" w:color="CCEEFF"/>
            </w:tcBorders>
            <w:gridSpan w:val="5"/>
            <w:shd w:val="clear" w:color="auto" w:fill="CCEEFF"/>
          </w:tcPr>
          <w:p>
            <w:pPr>
              <w:ind w:left="20"/>
              <w:spacing w:after="0"/>
              <w:rPr>
                <w:sz w:val="20"/>
                <w:szCs w:val="20"/>
                <w:color w:val="auto"/>
              </w:rPr>
            </w:pPr>
            <w:r>
              <w:rPr>
                <w:rFonts w:ascii="Arial" w:cs="Arial" w:eastAsia="Arial" w:hAnsi="Arial"/>
                <w:sz w:val="16"/>
                <w:szCs w:val="16"/>
                <w:color w:val="auto"/>
              </w:rPr>
              <w:t>XBRL Taxonomy Extension Definition Linkbase Document.</w:t>
            </w:r>
          </w:p>
        </w:tc>
        <w:tc>
          <w:tcPr>
            <w:tcW w:w="0" w:type="dxa"/>
            <w:vAlign w:val="bottom"/>
          </w:tcPr>
          <w:p>
            <w:pPr>
              <w:spacing w:after="0"/>
              <w:rPr>
                <w:sz w:val="1"/>
                <w:szCs w:val="1"/>
                <w:color w:val="auto"/>
              </w:rPr>
            </w:pPr>
          </w:p>
        </w:tc>
      </w:tr>
      <w:tr>
        <w:trPr>
          <w:trHeight w:val="215"/>
        </w:trPr>
        <w:tc>
          <w:tcPr>
            <w:tcW w:w="1240" w:type="dxa"/>
            <w:vAlign w:val="bottom"/>
          </w:tcPr>
          <w:p>
            <w:pPr>
              <w:ind w:left="20"/>
              <w:spacing w:after="0"/>
              <w:rPr>
                <w:sz w:val="20"/>
                <w:szCs w:val="20"/>
                <w:color w:val="auto"/>
              </w:rPr>
            </w:pPr>
            <w:r>
              <w:rPr>
                <w:rFonts w:ascii="Arial" w:cs="Arial" w:eastAsia="Arial" w:hAnsi="Arial"/>
                <w:sz w:val="16"/>
                <w:szCs w:val="16"/>
                <w:color w:val="auto"/>
              </w:rPr>
              <w:t>101.LAB</w:t>
            </w:r>
          </w:p>
        </w:tc>
        <w:tc>
          <w:tcPr>
            <w:tcW w:w="10000" w:type="dxa"/>
            <w:vAlign w:val="bottom"/>
            <w:gridSpan w:val="5"/>
          </w:tcPr>
          <w:p>
            <w:pPr>
              <w:ind w:left="20"/>
              <w:spacing w:after="0"/>
              <w:rPr>
                <w:sz w:val="20"/>
                <w:szCs w:val="20"/>
                <w:color w:val="auto"/>
              </w:rPr>
            </w:pPr>
            <w:r>
              <w:rPr>
                <w:rFonts w:ascii="Arial" w:cs="Arial" w:eastAsia="Arial" w:hAnsi="Arial"/>
                <w:sz w:val="16"/>
                <w:szCs w:val="16"/>
                <w:color w:val="auto"/>
              </w:rPr>
              <w:t>XBRL Taxonomy Extension Label Linkbase Document.</w:t>
            </w:r>
          </w:p>
        </w:tc>
        <w:tc>
          <w:tcPr>
            <w:tcW w:w="0" w:type="dxa"/>
            <w:vAlign w:val="bottom"/>
          </w:tcPr>
          <w:p>
            <w:pPr>
              <w:spacing w:after="0"/>
              <w:rPr>
                <w:sz w:val="1"/>
                <w:szCs w:val="1"/>
                <w:color w:val="auto"/>
              </w:rPr>
            </w:pPr>
          </w:p>
        </w:tc>
      </w:tr>
      <w:tr>
        <w:trPr>
          <w:trHeight w:val="217"/>
        </w:trPr>
        <w:tc>
          <w:tcPr>
            <w:tcW w:w="1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101.PRE</w:t>
            </w:r>
          </w:p>
        </w:tc>
        <w:tc>
          <w:tcPr>
            <w:tcW w:w="10000" w:type="dxa"/>
            <w:vAlign w:val="bottom"/>
            <w:tcBorders>
              <w:left w:val="single" w:sz="8" w:color="CCEEFF"/>
            </w:tcBorders>
            <w:gridSpan w:val="5"/>
            <w:shd w:val="clear" w:color="auto" w:fill="CCEEFF"/>
          </w:tcPr>
          <w:p>
            <w:pPr>
              <w:ind w:left="20"/>
              <w:spacing w:after="0"/>
              <w:rPr>
                <w:sz w:val="20"/>
                <w:szCs w:val="20"/>
                <w:color w:val="auto"/>
              </w:rPr>
            </w:pPr>
            <w:r>
              <w:rPr>
                <w:rFonts w:ascii="Arial" w:cs="Arial" w:eastAsia="Arial" w:hAnsi="Arial"/>
                <w:sz w:val="16"/>
                <w:szCs w:val="16"/>
                <w:color w:val="auto"/>
              </w:rPr>
              <w:t>XBRL Taxonomy Extension Presentation Linkbase Document.</w:t>
            </w:r>
          </w:p>
        </w:tc>
        <w:tc>
          <w:tcPr>
            <w:tcW w:w="0" w:type="dxa"/>
            <w:vAlign w:val="bottom"/>
          </w:tcPr>
          <w:p>
            <w:pPr>
              <w:spacing w:after="0"/>
              <w:rPr>
                <w:sz w:val="1"/>
                <w:szCs w:val="1"/>
                <w:color w:val="auto"/>
              </w:rPr>
            </w:pPr>
          </w:p>
        </w:tc>
      </w:tr>
      <w:tr>
        <w:trPr>
          <w:trHeight w:val="215"/>
        </w:trPr>
        <w:tc>
          <w:tcPr>
            <w:tcW w:w="1240" w:type="dxa"/>
            <w:vAlign w:val="bottom"/>
          </w:tcPr>
          <w:p>
            <w:pPr>
              <w:ind w:left="20"/>
              <w:spacing w:after="0"/>
              <w:rPr>
                <w:sz w:val="20"/>
                <w:szCs w:val="20"/>
                <w:color w:val="auto"/>
              </w:rPr>
            </w:pPr>
            <w:r>
              <w:rPr>
                <w:rFonts w:ascii="Arial" w:cs="Arial" w:eastAsia="Arial" w:hAnsi="Arial"/>
                <w:sz w:val="16"/>
                <w:szCs w:val="16"/>
                <w:color w:val="auto"/>
              </w:rPr>
              <w:t>104</w:t>
            </w:r>
          </w:p>
        </w:tc>
        <w:tc>
          <w:tcPr>
            <w:tcW w:w="10000" w:type="dxa"/>
            <w:vAlign w:val="bottom"/>
            <w:gridSpan w:val="5"/>
          </w:tcPr>
          <w:p>
            <w:pPr>
              <w:ind w:left="20"/>
              <w:spacing w:after="0"/>
              <w:rPr>
                <w:sz w:val="20"/>
                <w:szCs w:val="20"/>
                <w:color w:val="auto"/>
              </w:rPr>
            </w:pPr>
            <w:r>
              <w:rPr>
                <w:rFonts w:ascii="Arial" w:cs="Arial" w:eastAsia="Arial" w:hAnsi="Arial"/>
                <w:sz w:val="16"/>
                <w:szCs w:val="16"/>
                <w:color w:val="auto"/>
              </w:rPr>
              <w:t>Cover page formatted as Inline XBRL and contained in Exhibit 101</w:t>
            </w:r>
          </w:p>
        </w:tc>
        <w:tc>
          <w:tcPr>
            <w:tcW w:w="0" w:type="dxa"/>
            <w:vAlign w:val="bottom"/>
          </w:tcPr>
          <w:p>
            <w:pPr>
              <w:spacing w:after="0"/>
              <w:rPr>
                <w:sz w:val="1"/>
                <w:szCs w:val="1"/>
                <w:color w:val="auto"/>
              </w:rPr>
            </w:pPr>
          </w:p>
        </w:tc>
      </w:tr>
      <w:tr>
        <w:trPr>
          <w:trHeight w:val="1007"/>
        </w:trPr>
        <w:tc>
          <w:tcPr>
            <w:tcW w:w="12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57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77"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ALBANY INTERNATIONAL CORP.</w:t>
      </w:r>
    </w:p>
    <w:p>
      <w:pPr>
        <w:spacing w:after="0" w:line="39"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(Registrant)</w:t>
      </w:r>
    </w:p>
    <w:p>
      <w:pPr>
        <w:spacing w:after="0" w:line="282" w:lineRule="exact"/>
        <w:rPr>
          <w:sz w:val="20"/>
          <w:szCs w:val="20"/>
          <w:color w:val="auto"/>
        </w:rPr>
      </w:pPr>
    </w:p>
    <w:p>
      <w:pPr>
        <w:ind w:left="20"/>
        <w:spacing w:after="0"/>
        <w:tabs>
          <w:tab w:leader="none" w:pos="4080" w:val="left"/>
          <w:tab w:leader="none" w:pos="4540" w:val="left"/>
        </w:tabs>
        <w:rPr>
          <w:sz w:val="20"/>
          <w:szCs w:val="20"/>
          <w:color w:val="auto"/>
        </w:rPr>
      </w:pPr>
      <w:r>
        <w:rPr>
          <w:rFonts w:ascii="Arial" w:cs="Arial" w:eastAsia="Arial" w:hAnsi="Arial"/>
          <w:sz w:val="16"/>
          <w:szCs w:val="16"/>
          <w:color w:val="auto"/>
        </w:rPr>
        <w:t>Date: October 29, 2026</w:t>
      </w:r>
      <w:r>
        <w:rPr>
          <w:sz w:val="20"/>
          <w:szCs w:val="20"/>
          <w:color w:val="auto"/>
        </w:rPr>
        <w:tab/>
      </w:r>
      <w:r>
        <w:rPr>
          <w:rFonts w:ascii="Arial" w:cs="Arial" w:eastAsia="Arial" w:hAnsi="Arial"/>
          <w:sz w:val="16"/>
          <w:szCs w:val="16"/>
          <w:color w:val="auto"/>
        </w:rPr>
        <w:t>By</w:t>
        <w:tab/>
        <w:t>/s/ Sean Valashinas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20955</wp:posOffset>
            </wp:positionV>
            <wp:extent cx="410654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106545" cy="8255"/>
                    </a:xfrm>
                    <a:prstGeom prst="rect">
                      <a:avLst/>
                    </a:prstGeom>
                    <a:noFill/>
                  </pic:spPr>
                </pic:pic>
              </a:graphicData>
            </a:graphic>
          </wp:anchor>
        </w:drawing>
      </w:r>
    </w:p>
    <w:p>
      <w:pPr>
        <w:spacing w:after="0" w:line="20"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Sean Valashinas</w:t>
      </w:r>
    </w:p>
    <w:p>
      <w:pPr>
        <w:ind w:left="4560"/>
        <w:spacing w:after="0" w:line="211" w:lineRule="auto"/>
        <w:rPr>
          <w:sz w:val="20"/>
          <w:szCs w:val="20"/>
          <w:color w:val="auto"/>
        </w:rPr>
      </w:pPr>
      <w:r>
        <w:rPr>
          <w:rFonts w:ascii="Arial" w:cs="Arial" w:eastAsia="Arial" w:hAnsi="Arial"/>
          <w:sz w:val="16"/>
          <w:szCs w:val="16"/>
          <w:color w:val="auto"/>
        </w:rPr>
        <w:t>Acting Chief Financial Officer, Controller and Chief Accounting Officer</w:t>
      </w:r>
    </w:p>
    <w:p>
      <w:pPr>
        <w:ind w:left="4560"/>
        <w:spacing w:after="0"/>
        <w:rPr>
          <w:sz w:val="20"/>
          <w:szCs w:val="20"/>
          <w:color w:val="auto"/>
        </w:rPr>
      </w:pPr>
      <w:r>
        <w:rPr>
          <w:rFonts w:ascii="Arial" w:cs="Arial" w:eastAsia="Arial" w:hAnsi="Arial"/>
          <w:sz w:val="16"/>
          <w:szCs w:val="16"/>
          <w:color w:val="auto"/>
        </w:rPr>
        <w:t>(Principal Financial Officer)</w:t>
      </w:r>
    </w:p>
    <w:p>
      <w:pPr>
        <w:sectPr>
          <w:pgSz w:w="11900" w:h="16838" w:orient="portrait"/>
          <w:cols w:equalWidth="0" w:num="1">
            <w:col w:w="11220"/>
          </w:cols>
          <w:pgMar w:left="320" w:top="1039" w:right="35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Gunnar Kleveland, certify that:</w:t>
      </w:r>
    </w:p>
    <w:p>
      <w:pPr>
        <w:spacing w:after="0" w:line="117"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report on Form 10-Q of Albany International Corp.;</w:t>
      </w:r>
    </w:p>
    <w:p>
      <w:pPr>
        <w:spacing w:after="0" w:line="117" w:lineRule="exact"/>
        <w:rPr>
          <w:rFonts w:ascii="Arial" w:cs="Arial" w:eastAsia="Arial" w:hAnsi="Arial"/>
          <w:sz w:val="18"/>
          <w:szCs w:val="18"/>
          <w:color w:val="auto"/>
        </w:rPr>
      </w:pPr>
    </w:p>
    <w:p>
      <w:pPr>
        <w:jc w:val="both"/>
        <w:ind w:left="340" w:hanging="332"/>
        <w:spacing w:after="0" w:line="268" w:lineRule="auto"/>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340" w:right="20" w:hanging="332"/>
        <w:spacing w:after="0" w:line="287" w:lineRule="auto"/>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Arial" w:cs="Arial" w:eastAsia="Arial" w:hAnsi="Arial"/>
          <w:sz w:val="18"/>
          <w:szCs w:val="18"/>
          <w:color w:val="auto"/>
        </w:rPr>
      </w:pPr>
    </w:p>
    <w:p>
      <w:pPr>
        <w:jc w:val="both"/>
        <w:ind w:left="340" w:hanging="332"/>
        <w:spacing w:after="0" w:line="268" w:lineRule="auto"/>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5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5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54"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660" w:right="20" w:hanging="328"/>
        <w:spacing w:after="0" w:line="268" w:lineRule="auto"/>
        <w:tabs>
          <w:tab w:leader="none" w:pos="65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jc w:val="both"/>
        <w:ind w:left="340" w:hanging="332"/>
        <w:spacing w:after="0" w:line="268" w:lineRule="auto"/>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660" w:hanging="328"/>
        <w:spacing w:after="0" w:line="287" w:lineRule="auto"/>
        <w:tabs>
          <w:tab w:leader="none" w:pos="65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8"/>
          <w:szCs w:val="18"/>
          <w:color w:val="auto"/>
        </w:rPr>
      </w:pPr>
    </w:p>
    <w:p>
      <w:pPr>
        <w:ind w:left="660" w:hanging="328"/>
        <w:spacing w:after="0" w:line="287" w:lineRule="auto"/>
        <w:tabs>
          <w:tab w:leader="none" w:pos="65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72" w:lineRule="exact"/>
        <w:rPr>
          <w:sz w:val="20"/>
          <w:szCs w:val="20"/>
          <w:color w:val="auto"/>
        </w:rPr>
      </w:pPr>
    </w:p>
    <w:p>
      <w:pPr>
        <w:ind w:left="20"/>
        <w:spacing w:after="0"/>
        <w:tabs>
          <w:tab w:leader="none" w:pos="4160" w:val="left"/>
          <w:tab w:leader="none" w:pos="4600" w:val="left"/>
        </w:tabs>
        <w:rPr>
          <w:sz w:val="20"/>
          <w:szCs w:val="20"/>
          <w:color w:val="auto"/>
        </w:rPr>
      </w:pPr>
      <w:r>
        <w:rPr>
          <w:rFonts w:ascii="Arial" w:cs="Arial" w:eastAsia="Arial" w:hAnsi="Arial"/>
          <w:sz w:val="18"/>
          <w:szCs w:val="18"/>
          <w:color w:val="auto"/>
        </w:rPr>
        <w:t>Date: October 29,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Gunnar Kleveland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17780</wp:posOffset>
            </wp:positionV>
            <wp:extent cx="41833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183380" cy="8255"/>
                    </a:xfrm>
                    <a:prstGeom prst="rect">
                      <a:avLst/>
                    </a:prstGeom>
                    <a:noFill/>
                  </pic:spPr>
                </pic:pic>
              </a:graphicData>
            </a:graphic>
          </wp:anchor>
        </w:drawing>
      </w:r>
    </w:p>
    <w:p>
      <w:pPr>
        <w:spacing w:after="0" w:line="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Gunnar Kleveland</w:t>
      </w:r>
    </w:p>
    <w:p>
      <w:pPr>
        <w:ind w:left="4620"/>
        <w:spacing w:after="0" w:line="203" w:lineRule="auto"/>
        <w:rPr>
          <w:sz w:val="20"/>
          <w:szCs w:val="20"/>
          <w:color w:val="auto"/>
        </w:rPr>
      </w:pPr>
      <w:r>
        <w:rPr>
          <w:rFonts w:ascii="Arial" w:cs="Arial" w:eastAsia="Arial" w:hAnsi="Arial"/>
          <w:sz w:val="18"/>
          <w:szCs w:val="18"/>
          <w:color w:val="auto"/>
        </w:rPr>
        <w:t>President and Chief Executive Officer</w:t>
      </w:r>
    </w:p>
    <w:p>
      <w:pPr>
        <w:ind w:left="46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0"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Sean Valashinas, certify that:</w:t>
      </w:r>
    </w:p>
    <w:p>
      <w:pPr>
        <w:spacing w:after="0" w:line="117"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report on Form 10-Q of Albany International Corp.;</w:t>
      </w:r>
    </w:p>
    <w:p>
      <w:pPr>
        <w:spacing w:after="0" w:line="117" w:lineRule="exact"/>
        <w:rPr>
          <w:rFonts w:ascii="Arial" w:cs="Arial" w:eastAsia="Arial" w:hAnsi="Arial"/>
          <w:sz w:val="18"/>
          <w:szCs w:val="18"/>
          <w:color w:val="auto"/>
        </w:rPr>
      </w:pPr>
    </w:p>
    <w:p>
      <w:pPr>
        <w:jc w:val="both"/>
        <w:ind w:left="340" w:hanging="332"/>
        <w:spacing w:after="0" w:line="268" w:lineRule="auto"/>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340" w:right="20" w:hanging="332"/>
        <w:spacing w:after="0" w:line="287" w:lineRule="auto"/>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Arial" w:cs="Arial" w:eastAsia="Arial" w:hAnsi="Arial"/>
          <w:sz w:val="18"/>
          <w:szCs w:val="18"/>
          <w:color w:val="auto"/>
        </w:rPr>
      </w:pPr>
    </w:p>
    <w:p>
      <w:pPr>
        <w:jc w:val="both"/>
        <w:ind w:left="340" w:hanging="332"/>
        <w:spacing w:after="0" w:line="268" w:lineRule="auto"/>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5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5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54"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660" w:right="20" w:hanging="328"/>
        <w:spacing w:after="0" w:line="268" w:lineRule="auto"/>
        <w:tabs>
          <w:tab w:leader="none" w:pos="65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jc w:val="both"/>
        <w:ind w:left="340" w:hanging="332"/>
        <w:spacing w:after="0" w:line="268" w:lineRule="auto"/>
        <w:tabs>
          <w:tab w:leader="none" w:pos="3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660" w:hanging="328"/>
        <w:spacing w:after="0" w:line="287" w:lineRule="auto"/>
        <w:tabs>
          <w:tab w:leader="none" w:pos="65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8"/>
          <w:szCs w:val="18"/>
          <w:color w:val="auto"/>
        </w:rPr>
      </w:pPr>
    </w:p>
    <w:p>
      <w:pPr>
        <w:ind w:left="660" w:hanging="328"/>
        <w:spacing w:after="0" w:line="287" w:lineRule="auto"/>
        <w:tabs>
          <w:tab w:leader="none" w:pos="65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72" w:lineRule="exact"/>
        <w:rPr>
          <w:sz w:val="20"/>
          <w:szCs w:val="20"/>
          <w:color w:val="auto"/>
        </w:rPr>
      </w:pPr>
    </w:p>
    <w:p>
      <w:pPr>
        <w:ind w:left="20"/>
        <w:spacing w:after="0"/>
        <w:tabs>
          <w:tab w:leader="none" w:pos="4160" w:val="left"/>
          <w:tab w:leader="none" w:pos="4600" w:val="left"/>
        </w:tabs>
        <w:rPr>
          <w:sz w:val="20"/>
          <w:szCs w:val="20"/>
          <w:color w:val="auto"/>
        </w:rPr>
      </w:pPr>
      <w:r>
        <w:rPr>
          <w:rFonts w:ascii="Arial" w:cs="Arial" w:eastAsia="Arial" w:hAnsi="Arial"/>
          <w:sz w:val="18"/>
          <w:szCs w:val="18"/>
          <w:color w:val="auto"/>
        </w:rPr>
        <w:t>Date: October 29,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Sean Valashinas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17780</wp:posOffset>
            </wp:positionV>
            <wp:extent cx="41833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183380" cy="8255"/>
                    </a:xfrm>
                    <a:prstGeom prst="rect">
                      <a:avLst/>
                    </a:prstGeom>
                    <a:noFill/>
                  </pic:spPr>
                </pic:pic>
              </a:graphicData>
            </a:graphic>
          </wp:anchor>
        </w:drawing>
      </w:r>
    </w:p>
    <w:p>
      <w:pPr>
        <w:spacing w:after="0" w:line="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Sean Valashinas</w:t>
      </w:r>
    </w:p>
    <w:p>
      <w:pPr>
        <w:ind w:left="4620"/>
        <w:spacing w:after="0" w:line="203" w:lineRule="auto"/>
        <w:rPr>
          <w:sz w:val="20"/>
          <w:szCs w:val="20"/>
          <w:color w:val="auto"/>
        </w:rPr>
      </w:pPr>
      <w:r>
        <w:rPr>
          <w:rFonts w:ascii="Arial" w:cs="Arial" w:eastAsia="Arial" w:hAnsi="Arial"/>
          <w:sz w:val="18"/>
          <w:szCs w:val="18"/>
          <w:color w:val="auto"/>
        </w:rPr>
        <w:t>Acting Chief Financial Officer, Controller and Chief Accounting Officer</w:t>
      </w:r>
    </w:p>
    <w:p>
      <w:pPr>
        <w:ind w:left="46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0" w:right="3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Quarterly Report of Albany International Corp. (the Company) on Form 10-Q for the period ending September 30, 2026, as filed with the Securities and Exchange Commission on the date hereof (the Report), Gunnar Kleveland, President and Chief Executive Officer, and Sean Valashinas, Acting Chief Financial Officer, Controller and Chief Accounting Officer, certify, pursuant to 18 U.S.C. § 1350, as adopted pursuant to § 906 of the Sarbanes-Oxley Act of 2002, that:</w:t>
      </w:r>
    </w:p>
    <w:p>
      <w:pPr>
        <w:spacing w:after="0" w:line="68"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and Exchange Act of 1934; and</w:t>
      </w:r>
    </w:p>
    <w:p>
      <w:pPr>
        <w:spacing w:after="0" w:line="117" w:lineRule="exact"/>
        <w:rPr>
          <w:rFonts w:ascii="Arial" w:cs="Arial" w:eastAsia="Arial" w:hAnsi="Arial"/>
          <w:sz w:val="18"/>
          <w:szCs w:val="18"/>
          <w:color w:val="auto"/>
        </w:rPr>
      </w:pPr>
    </w:p>
    <w:p>
      <w:pPr>
        <w:ind w:left="340" w:hanging="332"/>
        <w:spacing w:after="0" w:line="287" w:lineRule="auto"/>
        <w:tabs>
          <w:tab w:leader="none" w:pos="33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2" w:lineRule="exact"/>
        <w:rPr>
          <w:sz w:val="20"/>
          <w:szCs w:val="20"/>
          <w:color w:val="auto"/>
        </w:rPr>
      </w:pPr>
    </w:p>
    <w:p>
      <w:pPr>
        <w:ind w:left="1040"/>
        <w:spacing w:after="0"/>
        <w:tabs>
          <w:tab w:leader="none" w:pos="4860" w:val="left"/>
        </w:tabs>
        <w:rPr>
          <w:sz w:val="20"/>
          <w:szCs w:val="20"/>
          <w:color w:val="auto"/>
        </w:rPr>
      </w:pPr>
      <w:r>
        <w:rPr>
          <w:rFonts w:ascii="Arial" w:cs="Arial" w:eastAsia="Arial" w:hAnsi="Arial"/>
          <w:sz w:val="18"/>
          <w:szCs w:val="18"/>
          <w:color w:val="auto"/>
        </w:rPr>
        <w:t>Date: October 29, 2026</w:t>
      </w:r>
      <w:r>
        <w:rPr>
          <w:sz w:val="20"/>
          <w:szCs w:val="20"/>
          <w:color w:val="auto"/>
        </w:rPr>
        <w:tab/>
      </w:r>
      <w:r>
        <w:rPr>
          <w:rFonts w:ascii="Arial" w:cs="Arial" w:eastAsia="Arial" w:hAnsi="Arial"/>
          <w:sz w:val="17"/>
          <w:szCs w:val="17"/>
          <w:color w:val="auto"/>
        </w:rPr>
        <w:t>/s/ Gunnar Kleveland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17780</wp:posOffset>
            </wp:positionV>
            <wp:extent cx="34118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3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Gunnar Kleveland</w:t>
      </w:r>
    </w:p>
    <w:p>
      <w:pPr>
        <w:ind w:left="4880"/>
        <w:spacing w:after="0" w:line="203" w:lineRule="auto"/>
        <w:rPr>
          <w:sz w:val="20"/>
          <w:szCs w:val="20"/>
          <w:color w:val="auto"/>
        </w:rPr>
      </w:pPr>
      <w:r>
        <w:rPr>
          <w:rFonts w:ascii="Arial" w:cs="Arial" w:eastAsia="Arial" w:hAnsi="Arial"/>
          <w:sz w:val="18"/>
          <w:szCs w:val="18"/>
          <w:color w:val="auto"/>
        </w:rPr>
        <w:t>President and Chief Executive Officer</w:t>
      </w:r>
    </w:p>
    <w:p>
      <w:pPr>
        <w:ind w:left="4880"/>
        <w:spacing w:after="0"/>
        <w:rPr>
          <w:sz w:val="20"/>
          <w:szCs w:val="20"/>
          <w:color w:val="auto"/>
        </w:rPr>
      </w:pPr>
      <w:r>
        <w:rPr>
          <w:rFonts w:ascii="Arial" w:cs="Arial" w:eastAsia="Arial" w:hAnsi="Arial"/>
          <w:sz w:val="18"/>
          <w:szCs w:val="18"/>
          <w:color w:val="auto"/>
        </w:rPr>
        <w:t>(Principal Executive Officer)</w:t>
      </w:r>
    </w:p>
    <w:p>
      <w:pPr>
        <w:spacing w:after="0" w:line="11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 Sean Valashinas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17780</wp:posOffset>
            </wp:positionV>
            <wp:extent cx="34118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11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Sean Valashinas</w:t>
      </w:r>
    </w:p>
    <w:p>
      <w:pPr>
        <w:ind w:left="4880"/>
        <w:spacing w:after="0" w:line="203" w:lineRule="auto"/>
        <w:rPr>
          <w:sz w:val="20"/>
          <w:szCs w:val="20"/>
          <w:color w:val="auto"/>
        </w:rPr>
      </w:pPr>
      <w:r>
        <w:rPr>
          <w:rFonts w:ascii="Arial" w:cs="Arial" w:eastAsia="Arial" w:hAnsi="Arial"/>
          <w:sz w:val="18"/>
          <w:szCs w:val="18"/>
          <w:color w:val="auto"/>
        </w:rPr>
        <w:t>Acting Chief Financial Officer, Controller and Chief Accounting</w:t>
      </w:r>
    </w:p>
    <w:p>
      <w:pPr>
        <w:ind w:left="4880"/>
        <w:spacing w:after="0" w:line="219" w:lineRule="auto"/>
        <w:rPr>
          <w:sz w:val="20"/>
          <w:szCs w:val="20"/>
          <w:color w:val="auto"/>
        </w:rPr>
      </w:pPr>
      <w:r>
        <w:rPr>
          <w:rFonts w:ascii="Arial" w:cs="Arial" w:eastAsia="Arial" w:hAnsi="Arial"/>
          <w:sz w:val="18"/>
          <w:szCs w:val="18"/>
          <w:color w:val="auto"/>
        </w:rPr>
        <w:t>Officer</w:t>
      </w:r>
    </w:p>
    <w:p>
      <w:pPr>
        <w:spacing w:after="0" w:line="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lowerLetter"/>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decimal"/>
      <w:start w:val="17"/>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2026-10-29T13:36:17Z</dcterms:created>
  <dcterms:modified xsi:type="dcterms:W3CDTF">2026-10-29T13:36:17Z</dcterms:modified>
</cp:coreProperties>
</file>