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420" w:after="283"/>
        <w:jc w:val="center"/>
        <w:rPr>
          <w:rFonts w:ascii="Times New Roman;serif" w:hAnsi="Times New Roman;serif"/>
          <w:b/>
          <w:color w:val="000000"/>
          <w:sz w:val="32"/>
        </w:rPr>
      </w:pPr>
      <w:r>
        <w:rPr>
          <w:rFonts w:ascii="Times New Roman;serif" w:hAnsi="Times New Roman;serif"/>
          <w:b/>
          <w:color w:val="000000"/>
          <w:sz w:val="32"/>
        </w:rPr>
        <w:t>FORM SD</w:t>
      </w:r>
    </w:p>
    <w:p>
      <w:pPr>
        <w:pStyle w:val="TextBody"/>
        <w:bidi w:val="0"/>
        <w:spacing w:lineRule="auto" w:line="288" w:before="420" w:after="283"/>
        <w:jc w:val="center"/>
        <w:rPr>
          <w:rFonts w:ascii="Times New Roman;serif" w:hAnsi="Times New Roman;serif"/>
          <w:b/>
          <w:color w:val="000000"/>
          <w:sz w:val="20"/>
        </w:rPr>
      </w:pPr>
      <w:r>
        <w:rPr>
          <w:rFonts w:ascii="Times New Roman;serif" w:hAnsi="Times New Roman;serif"/>
          <w:b/>
          <w:color w:val="000000"/>
          <w:sz w:val="20"/>
        </w:rPr>
        <w:t>SPECIALIZED DISCLOSURE REPORT</w:t>
      </w:r>
    </w:p>
    <w:tbl>
      <w:tblPr>
        <w:tblW w:w="5918" w:type="dxa"/>
        <w:jc w:val="center"/>
        <w:tblInd w:w="0" w:type="dxa"/>
        <w:tblLayout w:type="fixed"/>
        <w:tblCellMar>
          <w:top w:w="28" w:type="dxa"/>
          <w:left w:w="28" w:type="dxa"/>
          <w:bottom w:w="28" w:type="dxa"/>
          <w:right w:w="28" w:type="dxa"/>
        </w:tblCellMar>
      </w:tblPr>
      <w:tblGrid>
        <w:gridCol w:w="124"/>
        <w:gridCol w:w="109"/>
        <w:gridCol w:w="109"/>
        <w:gridCol w:w="1734"/>
        <w:gridCol w:w="1734"/>
        <w:gridCol w:w="173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4" w:type="dxa"/>
            <w:tcBorders/>
            <w:vAlign w:val="center"/>
          </w:tcPr>
          <w:p>
            <w:pPr>
              <w:pStyle w:val="TableContents"/>
              <w:bidi w:val="0"/>
              <w:spacing w:before="0" w:after="283"/>
              <w:jc w:val="left"/>
              <w:rPr>
                <w:sz w:val="4"/>
                <w:szCs w:val="4"/>
              </w:rPr>
            </w:pPr>
            <w:r>
              <w:rPr>
                <w:sz w:val="4"/>
                <w:szCs w:val="4"/>
              </w:rPr>
            </w:r>
          </w:p>
        </w:tc>
        <w:tc>
          <w:tcPr>
            <w:tcW w:w="1734" w:type="dxa"/>
            <w:tcBorders/>
            <w:vAlign w:val="center"/>
          </w:tcPr>
          <w:p>
            <w:pPr>
              <w:pStyle w:val="TableContents"/>
              <w:bidi w:val="0"/>
              <w:spacing w:before="0" w:after="283"/>
              <w:jc w:val="left"/>
              <w:rPr>
                <w:sz w:val="4"/>
                <w:szCs w:val="4"/>
              </w:rPr>
            </w:pPr>
            <w:r>
              <w:rPr>
                <w:sz w:val="4"/>
                <w:szCs w:val="4"/>
              </w:rPr>
            </w:r>
          </w:p>
        </w:tc>
        <w:tc>
          <w:tcPr>
            <w:tcW w:w="1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32"/>
              </w:rPr>
            </w:pPr>
            <w:r>
              <w:rPr>
                <w:rFonts w:ascii="Times New Roman;serif" w:hAnsi="Times New Roman;serif"/>
                <w:b/>
                <w:color w:val="000000"/>
                <w:sz w:val="32"/>
              </w:rPr>
              <w:t>ALBANY INTERNATIONAL CORP.</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084" w:type="dxa"/>
        <w:jc w:val="left"/>
        <w:tblInd w:w="0" w:type="dxa"/>
        <w:tblLayout w:type="fixed"/>
        <w:tblCellMar>
          <w:top w:w="28" w:type="dxa"/>
          <w:left w:w="28" w:type="dxa"/>
          <w:bottom w:w="28" w:type="dxa"/>
          <w:right w:w="28" w:type="dxa"/>
        </w:tblCellMar>
      </w:tblPr>
      <w:tblGrid>
        <w:gridCol w:w="813"/>
        <w:gridCol w:w="714"/>
        <w:gridCol w:w="722"/>
        <w:gridCol w:w="394"/>
        <w:gridCol w:w="394"/>
        <w:gridCol w:w="398"/>
        <w:gridCol w:w="481"/>
        <w:gridCol w:w="481"/>
        <w:gridCol w:w="687"/>
      </w:tblGrid>
      <w:tr>
        <w:trPr/>
        <w:tc>
          <w:tcPr>
            <w:tcW w:w="813"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18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1-10026</w:t>
            </w:r>
          </w:p>
        </w:tc>
        <w:tc>
          <w:tcPr>
            <w:tcW w:w="164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14-0462060</w:t>
            </w:r>
          </w:p>
        </w:tc>
      </w:tr>
      <w:tr>
        <w:trPr/>
        <w:tc>
          <w:tcPr>
            <w:tcW w:w="224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of incorporation)</w:t>
            </w:r>
          </w:p>
        </w:tc>
        <w:tc>
          <w:tcPr>
            <w:tcW w:w="118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(Commission</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File Number)</w:t>
            </w:r>
          </w:p>
        </w:tc>
        <w:tc>
          <w:tcPr>
            <w:tcW w:w="164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(I.R.S Employer</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Identification No.)</w:t>
            </w:r>
          </w:p>
        </w:tc>
      </w:tr>
    </w:tbl>
    <w:tbl>
      <w:tblPr>
        <w:tblW w:w="5399" w:type="dxa"/>
        <w:jc w:val="left"/>
        <w:tblInd w:w="0" w:type="dxa"/>
        <w:tblLayout w:type="fixed"/>
        <w:tblCellMar>
          <w:top w:w="28" w:type="dxa"/>
          <w:left w:w="28" w:type="dxa"/>
          <w:bottom w:w="28" w:type="dxa"/>
          <w:right w:w="28" w:type="dxa"/>
        </w:tblCellMar>
      </w:tblPr>
      <w:tblGrid>
        <w:gridCol w:w="1582"/>
        <w:gridCol w:w="1389"/>
        <w:gridCol w:w="1393"/>
        <w:gridCol w:w="303"/>
        <w:gridCol w:w="303"/>
        <w:gridCol w:w="429"/>
      </w:tblGrid>
      <w:tr>
        <w:trPr/>
        <w:tc>
          <w:tcPr>
            <w:tcW w:w="1582"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325 Corporate Drive Portsmouth, New Hampshire</w:t>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03801</w:t>
            </w:r>
          </w:p>
        </w:tc>
      </w:tr>
      <w:tr>
        <w:trPr/>
        <w:tc>
          <w:tcPr>
            <w:tcW w:w="436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103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before="0" w:after="0"/>
        <w:jc w:val="left"/>
        <w:rPr/>
      </w:pPr>
      <w:r>
        <w:rPr/>
      </w:r>
    </w:p>
    <w:tbl>
      <w:tblPr>
        <w:tblW w:w="9135" w:type="dxa"/>
        <w:jc w:val="left"/>
        <w:tblInd w:w="0" w:type="dxa"/>
        <w:tblLayout w:type="fixed"/>
        <w:tblCellMar>
          <w:top w:w="28" w:type="dxa"/>
          <w:left w:w="28" w:type="dxa"/>
          <w:bottom w:w="28" w:type="dxa"/>
          <w:right w:w="28" w:type="dxa"/>
        </w:tblCellMar>
      </w:tblPr>
      <w:tblGrid>
        <w:gridCol w:w="2927"/>
        <w:gridCol w:w="2573"/>
        <w:gridCol w:w="3635"/>
      </w:tblGrid>
      <w:tr>
        <w:trPr/>
        <w:tc>
          <w:tcPr>
            <w:tcW w:w="2927" w:type="dxa"/>
            <w:tcBorders/>
            <w:vAlign w:val="center"/>
          </w:tcPr>
          <w:p>
            <w:pPr>
              <w:pStyle w:val="TableContents"/>
              <w:bidi w:val="0"/>
              <w:spacing w:before="0" w:after="283"/>
              <w:jc w:val="left"/>
              <w:rPr>
                <w:sz w:val="4"/>
                <w:szCs w:val="4"/>
              </w:rPr>
            </w:pPr>
            <w:r>
              <w:rPr>
                <w:sz w:val="4"/>
                <w:szCs w:val="4"/>
              </w:rPr>
            </w:r>
          </w:p>
        </w:tc>
        <w:tc>
          <w:tcPr>
            <w:tcW w:w="2573" w:type="dxa"/>
            <w:tcBorders/>
            <w:vAlign w:val="center"/>
          </w:tcPr>
          <w:p>
            <w:pPr>
              <w:pStyle w:val="TableContents"/>
              <w:bidi w:val="0"/>
              <w:spacing w:before="0" w:after="283"/>
              <w:jc w:val="left"/>
              <w:rPr>
                <w:sz w:val="4"/>
                <w:szCs w:val="4"/>
              </w:rPr>
            </w:pPr>
            <w:r>
              <w:rPr>
                <w:sz w:val="4"/>
                <w:szCs w:val="4"/>
              </w:rPr>
            </w:r>
          </w:p>
        </w:tc>
        <w:tc>
          <w:tcPr>
            <w:tcW w:w="3635" w:type="dxa"/>
            <w:tcBorders/>
            <w:vAlign w:val="center"/>
          </w:tcPr>
          <w:p>
            <w:pPr>
              <w:pStyle w:val="TableContents"/>
              <w:bidi w:val="0"/>
              <w:spacing w:before="0" w:after="283"/>
              <w:jc w:val="left"/>
              <w:rPr>
                <w:sz w:val="4"/>
                <w:szCs w:val="4"/>
              </w:rPr>
            </w:pPr>
            <w:r>
              <w:rPr>
                <w:sz w:val="4"/>
                <w:szCs w:val="4"/>
              </w:rPr>
            </w:r>
          </w:p>
        </w:tc>
      </w:tr>
      <w:tr>
        <w:trPr/>
        <w:tc>
          <w:tcPr>
            <w:tcW w:w="91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Joseph M. Gaug</w:t>
            </w:r>
          </w:p>
        </w:tc>
      </w:tr>
      <w:tr>
        <w:trPr/>
        <w:tc>
          <w:tcPr>
            <w:tcW w:w="91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Senior Vice President, General Counsel &amp; Secretary</w:t>
            </w:r>
          </w:p>
        </w:tc>
      </w:tr>
      <w:tr>
        <w:trPr/>
        <w:tc>
          <w:tcPr>
            <w:tcW w:w="91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(518) 445-2273</w:t>
            </w:r>
          </w:p>
        </w:tc>
      </w:tr>
      <w:tr>
        <w:trPr/>
        <w:tc>
          <w:tcPr>
            <w:tcW w:w="91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and Telephone Number, Including Area Code, of the Person to Contact in Connection with this Report.)</w:t>
            </w:r>
          </w:p>
        </w:tc>
      </w:tr>
    </w:tbl>
    <w:p>
      <w:pPr>
        <w:pStyle w:val="TextBody"/>
        <w:bidi w:val="0"/>
        <w:spacing w:lineRule="auto" w:line="288" w:before="32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to indicate the rule pursuant to which this form is being filed, and provide the period to which the information in this form applies:</w:t>
      </w:r>
    </w:p>
    <w:p>
      <w:pPr>
        <w:pStyle w:val="TextBody"/>
        <w:bidi w:val="0"/>
        <w:spacing w:lineRule="auto" w:line="268" w:before="0" w:after="0"/>
        <w:ind w:left="0" w:right="0" w:hanging="360"/>
        <w:jc w:val="left"/>
        <w:rPr/>
      </w:pPr>
      <w:r>
        <w:rPr>
          <w:color w:val="000000"/>
        </w:rPr>
        <w:t>☐    </w:t>
      </w:r>
      <w:r>
        <w:rPr>
          <w:rFonts w:ascii="Times New Roman;serif" w:hAnsi="Times New Roman;serif"/>
          <w:b w:val="false"/>
          <w:color w:val="000000"/>
          <w:sz w:val="20"/>
        </w:rPr>
        <w:t>Rule 13p-1 under the Securities Exchange Act (17 CFR 240.13p-1) for the reporting period from January 1 to December 31, 2025.</w:t>
      </w:r>
    </w:p>
    <w:p>
      <w:pPr>
        <w:pStyle w:val="TextBody"/>
        <w:bidi w:val="0"/>
        <w:spacing w:before="2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Section 1 - Conflict Minerals Disclosure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1.01 Conflict Minerals Disclosure and Report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This Form SD and Conflict Minerals Disclosure are publicly available on our website at.</w:t>
      </w:r>
    </w:p>
    <w:p>
      <w:pPr>
        <w:pStyle w:val="TextBody"/>
        <w:bidi w:val="0"/>
        <w:spacing w:lineRule="auto" w:line="268" w:before="0" w:after="0"/>
        <w:jc w:val="left"/>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https://ww2.albint.com/supplierportal/home</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This report relates to products manufactured or contracted to be manufactured by Albany International Corp., including its consolidated subsidiaries (collectively referred to herein as “Albany”), during the calendar year ending December 31, 2025, for which 3TG</w:t>
      </w:r>
      <w:r>
        <w:rPr>
          <w:rFonts w:ascii="Times New Roman;serif" w:hAnsi="Times New Roman;serif"/>
          <w:b w:val="false"/>
          <w:color w:val="0000FF"/>
          <w:sz w:val="12"/>
        </w:rPr>
        <w:t>1</w:t>
      </w:r>
      <w:r>
        <w:rPr>
          <w:color w:val="000000"/>
        </w:rPr>
        <w:t xml:space="preserve"> </w:t>
      </w:r>
      <w:r>
        <w:rPr>
          <w:rFonts w:ascii="Times New Roman;serif" w:hAnsi="Times New Roman;serif"/>
          <w:b w:val="false"/>
          <w:color w:val="000000"/>
          <w:sz w:val="20"/>
        </w:rPr>
        <w:t>have been determined to be necessary to the functionality or production, in compliance with Rule 13p-1 under the Securities Exchange Act of 1934.</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Albany International is a leading developer and manufacturer of engineered components, using advanced materials processing and automation capabilities, with two core businesses. Machine Clothing (“MC”) is the world’s leading producer of fabrics and process belts used in the manufacture of all grades of paper products. Albany Engineered Composites (“AEC”) is a rapidly growing designer and manufacturer of advanced materials-based engineered components for jet engine and airframe applications, supporting both commercial and military platforms.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Given the nature of its businesses, Albany is removed from the mining of 3TG and does not have any direct relationships with smelters or refiners. Its 3TG inquiry, assessment, and analysis is, therefore focused on an analysis of raw materials and components used in its products and the suppliers of those materials and components.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Based on its analysis, Albany determined that there were limited instances in which its AEC division sources from third-party suppliers contain certain metallic sub-components of its products that could possibly contain 3TG.</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As a result, AEC conducted a Reasonable Country of Origin Inquiry (“RCOI”), which Albany believes was reasonably designed to determine whether any of the 3TG that might be contained in its products originated in a Covered Country.</w:t>
      </w:r>
      <w:r>
        <w:rPr>
          <w:rFonts w:ascii="Times New Roman;serif" w:hAnsi="Times New Roman;serif"/>
          <w:b w:val="false"/>
          <w:color w:val="0000FF"/>
          <w:sz w:val="16"/>
        </w:rPr>
        <w:t>2</w:t>
      </w:r>
      <w:r>
        <w:rPr>
          <w:color w:val="000000"/>
        </w:rPr>
        <w:t xml:space="preserve"> </w:t>
      </w:r>
      <w:r>
        <w:rPr>
          <w:rFonts w:ascii="Times New Roman;serif" w:hAnsi="Times New Roman;serif"/>
          <w:b w:val="false"/>
          <w:color w:val="000000"/>
          <w:sz w:val="20"/>
        </w:rPr>
        <w:t>The RCOI consisted of contacting directly each of the potential suppliers of the relevant sub-components in order to (i) confirm the presence or absence of 3TG in the sub-components supplied, and (ii) if the presence of 3TG was confirmed, make additional inquiries regarding the origin of such minerals. Based on the results of the RCOI, Albany has no reason to believe that any of these 3TG originated in a Covered Country.</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Item 1.02 Not applicable.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Section 2 - Exhibits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Item 2.01 Not applicable.</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As used in this report, “3TG” means cassiterite, columbite-tantalite, wolframite and gold, and their derivatives tin, tantalum and tungsten.</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As used in this report, Covered Countries means the Democratic Republic of the Congo, the Republic of the Congo, the Central African Republic, South Sudan, Uganda, Rwanda, Burundi, Tanzania, Zambia, and Angola.</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5809" w:type="dxa"/>
        <w:jc w:val="left"/>
        <w:tblInd w:w="0" w:type="dxa"/>
        <w:tblLayout w:type="fixed"/>
        <w:tblCellMar>
          <w:top w:w="28" w:type="dxa"/>
          <w:left w:w="28" w:type="dxa"/>
          <w:bottom w:w="28" w:type="dxa"/>
          <w:right w:w="28" w:type="dxa"/>
        </w:tblCellMar>
      </w:tblPr>
      <w:tblGrid>
        <w:gridCol w:w="124"/>
        <w:gridCol w:w="109"/>
        <w:gridCol w:w="109"/>
        <w:gridCol w:w="538"/>
        <w:gridCol w:w="538"/>
        <w:gridCol w:w="538"/>
        <w:gridCol w:w="1045"/>
        <w:gridCol w:w="1045"/>
        <w:gridCol w:w="1060"/>
        <w:gridCol w:w="206"/>
        <w:gridCol w:w="206"/>
        <w:gridCol w:w="2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510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4"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ALBANY INTERNATIONAL CORP.</w:t>
            </w:r>
          </w:p>
        </w:tc>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Joseph M. Gaug</w:t>
            </w:r>
          </w:p>
        </w:tc>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1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Joseph M. Gaug</w:t>
            </w:r>
          </w:p>
        </w:tc>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853"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Vice President General Counsel and Secretary</w:t>
            </w:r>
          </w:p>
        </w:tc>
      </w:tr>
    </w:tbl>
    <w:p>
      <w:pPr>
        <w:pStyle w:val="TextBody"/>
        <w:bidi w:val="0"/>
        <w:spacing w:lineRule="auto" w:line="288" w:before="500" w:after="283"/>
        <w:jc w:val="left"/>
        <w:rPr>
          <w:rFonts w:ascii="Times New Roman;serif" w:hAnsi="Times New Roman;serif"/>
          <w:b w:val="false"/>
          <w:color w:val="000000"/>
          <w:sz w:val="20"/>
        </w:rPr>
      </w:pPr>
      <w:r>
        <w:rPr>
          <w:rFonts w:ascii="Times New Roman;serif" w:hAnsi="Times New Roman;serif"/>
          <w:b w:val="false"/>
          <w:color w:val="000000"/>
          <w:sz w:val="20"/>
        </w:rPr>
        <w:t>Date: June 1, 2026</w:t>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608</Words>
  <Characters>3457</Characters>
  <CharactersWithSpaces>4018</CharactersWithSpaces>
  <Paragraphs>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