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UNITED STATES SECURITIES AND EXCHANGE COMMISSION</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Washington, D.C. 20549</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 xml:space="preserve">Form 10-Q </w:t>
      </w:r>
    </w:p>
    <w:tbl>
      <w:tblPr>
        <w:tblW w:w="8996" w:type="dxa"/>
        <w:jc w:val="left"/>
        <w:tblInd w:w="0" w:type="dxa"/>
        <w:tblLayout w:type="fixed"/>
        <w:tblCellMar>
          <w:top w:w="28" w:type="dxa"/>
          <w:left w:w="28" w:type="dxa"/>
          <w:bottom w:w="28" w:type="dxa"/>
          <w:right w:w="28" w:type="dxa"/>
        </w:tblCellMar>
      </w:tblPr>
      <w:tblGrid>
        <w:gridCol w:w="124"/>
        <w:gridCol w:w="109"/>
        <w:gridCol w:w="109"/>
        <w:gridCol w:w="1347"/>
        <w:gridCol w:w="1347"/>
        <w:gridCol w:w="1347"/>
        <w:gridCol w:w="1347"/>
        <w:gridCol w:w="1347"/>
        <w:gridCol w:w="1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5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quarterly period ended:</w:t>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June 30, 2026</w:t>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OR</w:t>
      </w:r>
    </w:p>
    <w:tbl>
      <w:tblPr>
        <w:tblW w:w="8982" w:type="dxa"/>
        <w:jc w:val="left"/>
        <w:tblInd w:w="0" w:type="dxa"/>
        <w:tblLayout w:type="fixed"/>
        <w:tblCellMar>
          <w:top w:w="28" w:type="dxa"/>
          <w:left w:w="28" w:type="dxa"/>
          <w:bottom w:w="28" w:type="dxa"/>
          <w:right w:w="28" w:type="dxa"/>
        </w:tblCellMar>
      </w:tblPr>
      <w:tblGrid>
        <w:gridCol w:w="124"/>
        <w:gridCol w:w="109"/>
        <w:gridCol w:w="109"/>
        <w:gridCol w:w="2529"/>
        <w:gridCol w:w="2529"/>
        <w:gridCol w:w="3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 to __________</w:t>
            </w:r>
          </w:p>
        </w:tc>
      </w:tr>
    </w:tbl>
    <w:p>
      <w:pPr>
        <w:pStyle w:val="TextBody"/>
        <w:bidi w:val="0"/>
        <w:spacing w:lineRule="auto" w:line="288" w:before="0" w:after="0"/>
        <w:jc w:val="center"/>
        <w:rPr/>
      </w:pPr>
      <w:r>
        <w:rPr>
          <w:rFonts w:ascii="Arial;sans-serif" w:hAnsi="Arial;sans-serif"/>
          <w:b/>
          <w:color w:val="000000"/>
          <w:sz w:val="20"/>
        </w:rPr>
        <w:t>Commission file number: </w:t>
      </w:r>
      <w:r>
        <w:rPr>
          <w:rFonts w:ascii="Arial;sans-serif" w:hAnsi="Arial;sans-serif"/>
          <w:b/>
          <w:color w:val="000000"/>
          <w:sz w:val="20"/>
          <w:u w:val="single"/>
        </w:rPr>
        <w:t>1-10026</w:t>
      </w:r>
      <w:r>
        <w:rPr>
          <w:color w:val="000000"/>
        </w:rPr>
        <w:t xml:space="preserve"> </w:t>
      </w:r>
    </w:p>
    <w:tbl>
      <w:tblPr>
        <w:tblW w:w="6584" w:type="dxa"/>
        <w:jc w:val="center"/>
        <w:tblInd w:w="0" w:type="dxa"/>
        <w:tblLayout w:type="fixed"/>
        <w:tblCellMar>
          <w:top w:w="28" w:type="dxa"/>
          <w:left w:w="28" w:type="dxa"/>
          <w:bottom w:w="28" w:type="dxa"/>
          <w:right w:w="28" w:type="dxa"/>
        </w:tblCellMar>
      </w:tblPr>
      <w:tblGrid>
        <w:gridCol w:w="2109"/>
        <w:gridCol w:w="1853"/>
        <w:gridCol w:w="2622"/>
      </w:tblGrid>
      <w:tr>
        <w:trPr/>
        <w:tc>
          <w:tcPr>
            <w:tcW w:w="2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300" w:after="283"/>
              <w:jc w:val="center"/>
              <w:rPr>
                <w:rFonts w:ascii="Arial;sans-serif" w:hAnsi="Arial;sans-serif"/>
                <w:b/>
                <w:color w:val="000000"/>
                <w:sz w:val="40"/>
              </w:rPr>
            </w:pPr>
            <w:r>
              <w:rPr>
                <w:rFonts w:ascii="Arial;sans-serif" w:hAnsi="Arial;sans-serif"/>
                <w:b/>
                <w:color w:val="000000"/>
                <w:sz w:val="40"/>
              </w:rPr>
              <w:t>ALBANY INTERNATIONAL CORP.</w:t>
            </w:r>
          </w:p>
        </w:tc>
      </w:tr>
      <w:tr>
        <w:trPr/>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Delaware </w:t>
      </w:r>
    </w:p>
    <w:tbl>
      <w:tblPr>
        <w:tblW w:w="5189" w:type="dxa"/>
        <w:jc w:val="center"/>
        <w:tblInd w:w="0" w:type="dxa"/>
        <w:tblLayout w:type="fixed"/>
        <w:tblCellMar>
          <w:top w:w="28" w:type="dxa"/>
          <w:left w:w="28" w:type="dxa"/>
          <w:bottom w:w="28" w:type="dxa"/>
          <w:right w:w="28" w:type="dxa"/>
        </w:tblCellMar>
      </w:tblPr>
      <w:tblGrid>
        <w:gridCol w:w="1659"/>
        <w:gridCol w:w="1460"/>
        <w:gridCol w:w="2070"/>
      </w:tblGrid>
      <w:tr>
        <w:trPr/>
        <w:tc>
          <w:tcPr>
            <w:tcW w:w="16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325 Corporate Drive, Portsmouth, New Hampshire </w:t>
      </w:r>
    </w:p>
    <w:tbl>
      <w:tblPr>
        <w:tblW w:w="3555" w:type="dxa"/>
        <w:jc w:val="center"/>
        <w:tblInd w:w="0" w:type="dxa"/>
        <w:tblLayout w:type="fixed"/>
        <w:tblCellMar>
          <w:top w:w="28" w:type="dxa"/>
          <w:left w:w="28" w:type="dxa"/>
          <w:bottom w:w="28" w:type="dxa"/>
          <w:right w:w="28" w:type="dxa"/>
        </w:tblCellMar>
      </w:tblPr>
      <w:tblGrid>
        <w:gridCol w:w="1138"/>
        <w:gridCol w:w="1000"/>
        <w:gridCol w:w="1417"/>
      </w:tblGrid>
      <w:tr>
        <w:trPr/>
        <w:tc>
          <w:tcPr>
            <w:tcW w:w="1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14-0462060 </w:t>
      </w:r>
    </w:p>
    <w:tbl>
      <w:tblPr>
        <w:tblW w:w="3030" w:type="dxa"/>
        <w:jc w:val="center"/>
        <w:tblInd w:w="0" w:type="dxa"/>
        <w:tblLayout w:type="fixed"/>
        <w:tblCellMar>
          <w:top w:w="28" w:type="dxa"/>
          <w:left w:w="28" w:type="dxa"/>
          <w:bottom w:w="28" w:type="dxa"/>
          <w:right w:w="28" w:type="dxa"/>
        </w:tblCellMar>
      </w:tblPr>
      <w:tblGrid>
        <w:gridCol w:w="969"/>
        <w:gridCol w:w="852"/>
        <w:gridCol w:w="1209"/>
      </w:tblGrid>
      <w:tr>
        <w:trPr/>
        <w:tc>
          <w:tcPr>
            <w:tcW w:w="96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03801 </w:t>
      </w:r>
    </w:p>
    <w:tbl>
      <w:tblPr>
        <w:tblW w:w="1064" w:type="dxa"/>
        <w:jc w:val="center"/>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603-330-5800 </w:t>
      </w:r>
    </w:p>
    <w:tbl>
      <w:tblPr>
        <w:tblW w:w="4725" w:type="dxa"/>
        <w:jc w:val="center"/>
        <w:tblInd w:w="0" w:type="dxa"/>
        <w:tblLayout w:type="fixed"/>
        <w:tblCellMar>
          <w:top w:w="28" w:type="dxa"/>
          <w:left w:w="28" w:type="dxa"/>
          <w:bottom w:w="28" w:type="dxa"/>
          <w:right w:w="28" w:type="dxa"/>
        </w:tblCellMar>
      </w:tblPr>
      <w:tblGrid>
        <w:gridCol w:w="1514"/>
        <w:gridCol w:w="1330"/>
        <w:gridCol w:w="1881"/>
      </w:tblGrid>
      <w:tr>
        <w:trPr/>
        <w:tc>
          <w:tcPr>
            <w:tcW w:w="15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Securities registered pursuant to Section 12(b) of the Act:</w:t>
      </w:r>
    </w:p>
    <w:tbl>
      <w:tblPr>
        <w:tblW w:w="9734" w:type="dxa"/>
        <w:jc w:val="left"/>
        <w:tblInd w:w="0" w:type="dxa"/>
        <w:tblLayout w:type="fixed"/>
        <w:tblCellMar>
          <w:top w:w="28" w:type="dxa"/>
          <w:left w:w="28" w:type="dxa"/>
          <w:bottom w:w="28" w:type="dxa"/>
          <w:right w:w="28" w:type="dxa"/>
        </w:tblCellMar>
      </w:tblPr>
      <w:tblGrid>
        <w:gridCol w:w="1570"/>
        <w:gridCol w:w="1380"/>
        <w:gridCol w:w="1385"/>
        <w:gridCol w:w="534"/>
        <w:gridCol w:w="534"/>
        <w:gridCol w:w="536"/>
        <w:gridCol w:w="1108"/>
        <w:gridCol w:w="1108"/>
        <w:gridCol w:w="1579"/>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3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AIN</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New York Stock Exchange (NYSE)</w:t>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75"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09"/>
        <w:gridCol w:w="109"/>
        <w:gridCol w:w="109"/>
        <w:gridCol w:w="784"/>
        <w:gridCol w:w="784"/>
        <w:gridCol w:w="787"/>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sans-serif" w:hAnsi="Arial;sans-serif"/>
          <w:b w:val="false"/>
          <w:color w:val="000000"/>
          <w:sz w:val="20"/>
        </w:rPr>
        <w:t xml:space="preserve">.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The registrant had 28.4 million shares of Class A Common Stock outstanding as of July 15,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22"/>
        <w:gridCol w:w="370"/>
        <w:gridCol w:w="370"/>
        <w:gridCol w:w="2731"/>
        <w:gridCol w:w="2694"/>
        <w:gridCol w:w="2729"/>
        <w:gridCol w:w="258"/>
        <w:gridCol w:w="258"/>
        <w:gridCol w:w="373"/>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 No.</w:t>
            </w:r>
          </w:p>
        </w:tc>
      </w:tr>
      <w:tr>
        <w:trPr/>
        <w:tc>
          <w:tcPr>
            <w:tcW w:w="9316" w:type="dxa"/>
            <w:gridSpan w:val="6"/>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0">
              <w:r>
                <w:rPr>
                  <w:rStyle w:val="InternetLink"/>
                  <w:rFonts w:ascii="Arial;sans-serif" w:hAnsi="Arial;sans-serif"/>
                  <w:b/>
                  <w:strike w:val="false"/>
                  <w:dstrike w:val="false"/>
                  <w:color w:val="0000FF"/>
                  <w:sz w:val="18"/>
                  <w:u w:val="none"/>
                  <w:effect w:val="none"/>
                </w:rPr>
                <w:t>Part I Financial information</w:t>
              </w:r>
            </w:hyperlink>
          </w:p>
        </w:tc>
        <w:tc>
          <w:tcPr>
            <w:tcW w:w="889" w:type="dxa"/>
            <w:gridSpan w:val="3"/>
            <w:tcBorders>
              <w:top w:val="single" w:sz="8" w:space="0" w:color="000000"/>
            </w:tcBorders>
            <w:shd w:fill="B2B2B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
              <w:r>
                <w:rPr>
                  <w:rStyle w:val="InternetLink"/>
                  <w:rFonts w:ascii="Arial;sans-serif" w:hAnsi="Arial;sans-serif"/>
                  <w:b w:val="false"/>
                  <w:color w:val="0000FF"/>
                  <w:sz w:val="18"/>
                  <w:u w:val="single"/>
                </w:rPr>
                <w:t>Item 1.</w:t>
              </w:r>
            </w:hyperlink>
          </w:p>
        </w:tc>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
              <w:r>
                <w:rPr>
                  <w:rStyle w:val="InternetLink"/>
                  <w:rFonts w:ascii="Arial;sans-serif" w:hAnsi="Arial;sans-serif"/>
                  <w:b w:val="false"/>
                  <w:color w:val="0000FF"/>
                  <w:sz w:val="18"/>
                  <w:u w:val="single"/>
                </w:rPr>
                <w:t>Financial Statements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6">
              <w:r>
                <w:rPr>
                  <w:rStyle w:val="InternetLink"/>
                  <w:rFonts w:ascii="Arial;sans-serif" w:hAnsi="Arial;sans-serif"/>
                  <w:b w:val="false"/>
                  <w:color w:val="0000FF"/>
                  <w:sz w:val="18"/>
                  <w:u w:val="single"/>
                </w:rPr>
                <w:t xml:space="preserve">Consolidated statements of income – </w:t>
              </w:r>
            </w:hyperlink>
            <w:r>
              <w:rPr>
                <w:rFonts w:ascii="Arial;sans-serif" w:hAnsi="Arial;sans-serif"/>
                <w:b w:val="false"/>
                <w:color w:val="000000"/>
                <w:sz w:val="18"/>
              </w:rPr>
              <w:t xml:space="preserve">three and six </w:t>
            </w:r>
            <w:hyperlink w:anchor="i14dbd90247bd4fc9b423fff1380bd4ce_16">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June 30, 2026</w:t>
            </w:r>
            <w:hyperlink w:anchor="i14dbd90247bd4fc9b423fff1380bd4ce_16">
              <w:r>
                <w:rPr>
                  <w:rStyle w:val="InternetLink"/>
                  <w:color w:val="0000FF"/>
                  <w:u w:val="single"/>
                </w:rPr>
                <w:t xml:space="preserve"> </w:t>
              </w:r>
            </w:hyperlink>
            <w:hyperlink w:anchor="i14dbd90247bd4fc9b423fff1380bd4ce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2025</w:t>
            </w:r>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6">
              <w:r>
                <w:rPr>
                  <w:rStyle w:val="InternetLink"/>
                  <w:rFonts w:ascii="Arial;sans-serif" w:hAnsi="Arial;sans-serif"/>
                  <w:b w:val="false"/>
                  <w:color w:val="0000FF"/>
                  <w:sz w:val="18"/>
                  <w:u w:val="single"/>
                </w:rPr>
                <w:t>1</w:t>
              </w:r>
            </w:hyperlink>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9">
              <w:r>
                <w:rPr>
                  <w:rStyle w:val="InternetLink"/>
                  <w:rFonts w:ascii="Arial;sans-serif" w:hAnsi="Arial;sans-serif"/>
                  <w:b w:val="false"/>
                  <w:color w:val="0000FF"/>
                  <w:sz w:val="18"/>
                  <w:u w:val="single"/>
                </w:rPr>
                <w:t>Consolidated statements of comprehensive income –</w:t>
              </w:r>
            </w:hyperlink>
            <w:r>
              <w:rPr>
                <w:color w:val="000000"/>
              </w:rPr>
              <w:t xml:space="preserve"> </w:t>
            </w:r>
            <w:r>
              <w:rPr>
                <w:rFonts w:ascii="Arial;sans-serif" w:hAnsi="Arial;sans-serif"/>
                <w:b w:val="false"/>
                <w:color w:val="000000"/>
                <w:sz w:val="18"/>
              </w:rPr>
              <w:t xml:space="preserve">three and six </w:t>
            </w:r>
            <w:hyperlink w:anchor="i14dbd90247bd4fc9b423fff1380bd4ce_19">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June 30, 2026</w:t>
            </w:r>
            <w:hyperlink w:anchor="i14dbd90247bd4fc9b423fff1380bd4ce_16">
              <w:r>
                <w:rPr>
                  <w:rStyle w:val="InternetLink"/>
                  <w:color w:val="0000FF"/>
                  <w:u w:val="single"/>
                </w:rPr>
                <w:t xml:space="preserve"> </w:t>
              </w:r>
            </w:hyperlink>
            <w:hyperlink w:anchor="i14dbd90247bd4fc9b423fff1380bd4ce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2025</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9">
              <w:r>
                <w:rPr>
                  <w:rStyle w:val="InternetLink"/>
                  <w:rFonts w:ascii="Arial;sans-serif" w:hAnsi="Arial;sans-serif"/>
                  <w:b w:val="false"/>
                  <w:color w:val="0000FF"/>
                  <w:sz w:val="18"/>
                  <w:u w:val="single"/>
                </w:rPr>
                <w:t>2</w:t>
              </w:r>
            </w:hyperlink>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22">
              <w:r>
                <w:rPr>
                  <w:rStyle w:val="InternetLink"/>
                  <w:rFonts w:ascii="Arial;sans-serif" w:hAnsi="Arial;sans-serif"/>
                  <w:b w:val="false"/>
                  <w:color w:val="0000FF"/>
                  <w:sz w:val="18"/>
                  <w:u w:val="single"/>
                </w:rPr>
                <w:t xml:space="preserve">Consolidated balance sheets as of </w:t>
              </w:r>
            </w:hyperlink>
            <w:r>
              <w:rPr>
                <w:rFonts w:ascii="Arial;sans-serif" w:hAnsi="Arial;sans-serif"/>
                <w:b w:val="false"/>
                <w:color w:val="000000"/>
                <w:sz w:val="18"/>
              </w:rPr>
              <w:t>June 30, 2026</w:t>
            </w:r>
            <w:hyperlink w:anchor="i14dbd90247bd4fc9b423fff1380bd4ce_22">
              <w:r>
                <w:rPr>
                  <w:rStyle w:val="InternetLink"/>
                  <w:color w:val="0000FF"/>
                  <w:u w:val="single"/>
                </w:rPr>
                <w:t xml:space="preserve"> </w:t>
              </w:r>
            </w:hyperlink>
            <w:hyperlink w:anchor="i14dbd90247bd4fc9b423fff1380bd4ce_22">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December 31, 2025</w:t>
            </w:r>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22">
              <w:r>
                <w:rPr>
                  <w:rStyle w:val="InternetLink"/>
                  <w:rFonts w:ascii="Arial;sans-serif" w:hAnsi="Arial;sans-serif"/>
                  <w:b w:val="false"/>
                  <w:color w:val="0000FF"/>
                  <w:sz w:val="18"/>
                  <w:u w:val="single"/>
                </w:rPr>
                <w:t>3</w:t>
              </w:r>
            </w:hyperlink>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25">
              <w:r>
                <w:rPr>
                  <w:rStyle w:val="InternetLink"/>
                  <w:rFonts w:ascii="Arial;sans-serif" w:hAnsi="Arial;sans-serif"/>
                  <w:b w:val="false"/>
                  <w:color w:val="0000FF"/>
                  <w:sz w:val="18"/>
                  <w:u w:val="single"/>
                </w:rPr>
                <w:t xml:space="preserve">Consolidated statements of cash flows – </w:t>
              </w:r>
            </w:hyperlink>
            <w:r>
              <w:rPr>
                <w:rFonts w:ascii="Arial;sans-serif" w:hAnsi="Arial;sans-serif"/>
                <w:b w:val="false"/>
                <w:color w:val="000000"/>
                <w:sz w:val="18"/>
              </w:rPr>
              <w:t>six</w:t>
            </w:r>
            <w:hyperlink w:anchor="i14dbd90247bd4fc9b423fff1380bd4ce_25">
              <w:r>
                <w:rPr>
                  <w:rStyle w:val="InternetLink"/>
                  <w:color w:val="0000FF"/>
                  <w:u w:val="single"/>
                </w:rPr>
                <w:t xml:space="preserve"> </w:t>
              </w:r>
            </w:hyperlink>
            <w:hyperlink w:anchor="i14dbd90247bd4fc9b423fff1380bd4ce_25">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June 30, 2026</w:t>
            </w:r>
            <w:hyperlink w:anchor="i14dbd90247bd4fc9b423fff1380bd4ce_16">
              <w:r>
                <w:rPr>
                  <w:rStyle w:val="InternetLink"/>
                  <w:color w:val="0000FF"/>
                  <w:u w:val="single"/>
                </w:rPr>
                <w:t xml:space="preserve"> </w:t>
              </w:r>
            </w:hyperlink>
            <w:hyperlink w:anchor="i14dbd90247bd4fc9b423fff1380bd4ce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2025</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25">
              <w:r>
                <w:rPr>
                  <w:rStyle w:val="InternetLink"/>
                  <w:rFonts w:ascii="Arial;sans-serif" w:hAnsi="Arial;sans-serif"/>
                  <w:b w:val="false"/>
                  <w:color w:val="0000FF"/>
                  <w:sz w:val="18"/>
                  <w:u w:val="single"/>
                </w:rPr>
                <w:t>4</w:t>
              </w:r>
            </w:hyperlink>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28">
              <w:r>
                <w:rPr>
                  <w:rStyle w:val="InternetLink"/>
                  <w:rFonts w:ascii="Arial;sans-serif" w:hAnsi="Arial;sans-serif"/>
                  <w:b w:val="false"/>
                  <w:color w:val="0000FF"/>
                  <w:sz w:val="18"/>
                  <w:u w:val="single"/>
                </w:rPr>
                <w:t>Notes to consolidated financial statements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28">
              <w:r>
                <w:rPr>
                  <w:rStyle w:val="InternetLink"/>
                  <w:rFonts w:ascii="Arial;sans-serif" w:hAnsi="Arial;sans-serif"/>
                  <w:b w:val="false"/>
                  <w:color w:val="0000FF"/>
                  <w:sz w:val="18"/>
                  <w:u w:val="single"/>
                </w:rPr>
                <w:t>6</w:t>
              </w:r>
            </w:hyperlink>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94">
              <w:r>
                <w:rPr>
                  <w:rStyle w:val="InternetLink"/>
                  <w:rFonts w:ascii="Arial;sans-serif" w:hAnsi="Arial;sans-serif"/>
                  <w:b w:val="false"/>
                  <w:color w:val="0000FF"/>
                  <w:sz w:val="18"/>
                  <w:u w:val="single"/>
                </w:rPr>
                <w:t>Item 2.</w:t>
              </w:r>
            </w:hyperlink>
          </w:p>
        </w:tc>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94">
              <w:r>
                <w:rPr>
                  <w:rStyle w:val="InternetLink"/>
                  <w:rFonts w:ascii="Arial;sans-serif" w:hAnsi="Arial;sans-serif"/>
                  <w:b w:val="false"/>
                  <w:color w:val="0000FF"/>
                  <w:sz w:val="18"/>
                  <w:u w:val="single"/>
                </w:rPr>
                <w:t>Management’s Discussion and Analysis of Financial Condition and Results of Operations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94">
              <w:r>
                <w:rPr>
                  <w:rStyle w:val="InternetLink"/>
                  <w:rFonts w:ascii="Arial;sans-serif" w:hAnsi="Arial;sans-serif"/>
                  <w:b w:val="false"/>
                  <w:color w:val="0000FF"/>
                  <w:sz w:val="18"/>
                  <w:u w:val="single"/>
                </w:rPr>
                <w:t>26</w:t>
              </w:r>
            </w:hyperlink>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97">
              <w:r>
                <w:rPr>
                  <w:rStyle w:val="InternetLink"/>
                  <w:rFonts w:ascii="Arial;sans-serif" w:hAnsi="Arial;sans-serif"/>
                  <w:b w:val="false"/>
                  <w:color w:val="0000FF"/>
                  <w:sz w:val="18"/>
                  <w:u w:val="single"/>
                </w:rPr>
                <w:t>Forward-looking statements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97">
              <w:r>
                <w:rPr>
                  <w:rStyle w:val="InternetLink"/>
                  <w:rFonts w:ascii="Arial;sans-serif" w:hAnsi="Arial;sans-serif"/>
                  <w:b w:val="false"/>
                  <w:color w:val="0000FF"/>
                  <w:sz w:val="18"/>
                  <w:u w:val="single"/>
                </w:rPr>
                <w:t>26</w:t>
              </w:r>
            </w:hyperlink>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15">
              <w:r>
                <w:rPr>
                  <w:rStyle w:val="InternetLink"/>
                  <w:rFonts w:ascii="Arial;sans-serif" w:hAnsi="Arial;sans-serif"/>
                  <w:b w:val="false"/>
                  <w:color w:val="0000FF"/>
                  <w:sz w:val="18"/>
                  <w:u w:val="single"/>
                </w:rPr>
                <w:t>Item 3.</w:t>
              </w:r>
            </w:hyperlink>
          </w:p>
        </w:tc>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15">
              <w:r>
                <w:rPr>
                  <w:rStyle w:val="InternetLink"/>
                  <w:rFonts w:ascii="Arial;sans-serif" w:hAnsi="Arial;sans-serif"/>
                  <w:b w:val="false"/>
                  <w:color w:val="0000FF"/>
                  <w:sz w:val="18"/>
                  <w:u w:val="single"/>
                </w:rPr>
                <w:t>Quantitative and Qualitative Disclosures about Market Risk</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15">
              <w:r>
                <w:rPr>
                  <w:rStyle w:val="InternetLink"/>
                  <w:rFonts w:ascii="Arial;sans-serif" w:hAnsi="Arial;sans-serif"/>
                  <w:b w:val="false"/>
                  <w:color w:val="0000FF"/>
                  <w:sz w:val="18"/>
                  <w:u w:val="single"/>
                </w:rPr>
                <w:t>36</w:t>
              </w:r>
            </w:hyperlink>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18">
              <w:r>
                <w:rPr>
                  <w:rStyle w:val="InternetLink"/>
                  <w:rFonts w:ascii="Arial;sans-serif" w:hAnsi="Arial;sans-serif"/>
                  <w:b w:val="false"/>
                  <w:color w:val="0000FF"/>
                  <w:sz w:val="18"/>
                  <w:u w:val="single"/>
                </w:rPr>
                <w:t>Item 4.</w:t>
              </w:r>
            </w:hyperlink>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18">
              <w:r>
                <w:rPr>
                  <w:rStyle w:val="InternetLink"/>
                  <w:rFonts w:ascii="Arial;sans-serif" w:hAnsi="Arial;sans-serif"/>
                  <w:b w:val="false"/>
                  <w:color w:val="0000FF"/>
                  <w:sz w:val="18"/>
                  <w:u w:val="single"/>
                </w:rPr>
                <w:t>Controls and Procedures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18">
              <w:r>
                <w:rPr>
                  <w:rStyle w:val="InternetLink"/>
                  <w:rFonts w:ascii="Arial;sans-serif" w:hAnsi="Arial;sans-serif"/>
                  <w:b w:val="false"/>
                  <w:color w:val="0000FF"/>
                  <w:sz w:val="18"/>
                  <w:u w:val="single"/>
                </w:rPr>
                <w:t>36</w:t>
              </w:r>
            </w:hyperlink>
          </w:p>
        </w:tc>
      </w:tr>
      <w:tr>
        <w:trPr/>
        <w:tc>
          <w:tcPr>
            <w:tcW w:w="931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21">
              <w:r>
                <w:rPr>
                  <w:rStyle w:val="InternetLink"/>
                  <w:rFonts w:ascii="Arial;sans-serif" w:hAnsi="Arial;sans-serif"/>
                  <w:b/>
                  <w:strike w:val="false"/>
                  <w:dstrike w:val="false"/>
                  <w:color w:val="0000FF"/>
                  <w:sz w:val="18"/>
                  <w:u w:val="none"/>
                  <w:effect w:val="none"/>
                </w:rPr>
                <w:t>Part II Other Information</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24">
              <w:r>
                <w:rPr>
                  <w:rStyle w:val="InternetLink"/>
                  <w:rFonts w:ascii="Arial;sans-serif" w:hAnsi="Arial;sans-serif"/>
                  <w:b w:val="false"/>
                  <w:color w:val="0000FF"/>
                  <w:sz w:val="18"/>
                  <w:u w:val="single"/>
                </w:rPr>
                <w:t>Item 1.</w:t>
              </w:r>
            </w:hyperlink>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24">
              <w:r>
                <w:rPr>
                  <w:rStyle w:val="InternetLink"/>
                  <w:rFonts w:ascii="Arial;sans-serif" w:hAnsi="Arial;sans-serif"/>
                  <w:b w:val="false"/>
                  <w:color w:val="0000FF"/>
                  <w:sz w:val="18"/>
                  <w:u w:val="single"/>
                </w:rPr>
                <w:t>Legal Proceedings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24">
              <w:r>
                <w:rPr>
                  <w:rStyle w:val="InternetLink"/>
                  <w:rFonts w:ascii="Arial;sans-serif" w:hAnsi="Arial;sans-serif"/>
                  <w:b w:val="false"/>
                  <w:color w:val="0000FF"/>
                  <w:sz w:val="18"/>
                  <w:u w:val="single"/>
                </w:rPr>
                <w:t>37</w:t>
              </w:r>
            </w:hyperlink>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27">
              <w:r>
                <w:rPr>
                  <w:rStyle w:val="InternetLink"/>
                  <w:rFonts w:ascii="Arial;sans-serif" w:hAnsi="Arial;sans-serif"/>
                  <w:b w:val="false"/>
                  <w:color w:val="0000FF"/>
                  <w:sz w:val="18"/>
                  <w:u w:val="single"/>
                </w:rPr>
                <w:t>Item 1A.</w:t>
              </w:r>
            </w:hyperlink>
          </w:p>
        </w:tc>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27">
              <w:r>
                <w:rPr>
                  <w:rStyle w:val="InternetLink"/>
                  <w:rFonts w:ascii="Arial;sans-serif" w:hAnsi="Arial;sans-serif"/>
                  <w:b w:val="false"/>
                  <w:color w:val="0000FF"/>
                  <w:sz w:val="18"/>
                  <w:u w:val="single"/>
                </w:rPr>
                <w:t>Risk Factors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27">
              <w:r>
                <w:rPr>
                  <w:rStyle w:val="InternetLink"/>
                  <w:rFonts w:ascii="Arial;sans-serif" w:hAnsi="Arial;sans-serif"/>
                  <w:b w:val="false"/>
                  <w:color w:val="0000FF"/>
                  <w:sz w:val="18"/>
                  <w:u w:val="single"/>
                </w:rPr>
                <w:t>37</w:t>
              </w:r>
            </w:hyperlink>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0">
              <w:r>
                <w:rPr>
                  <w:rStyle w:val="InternetLink"/>
                  <w:rFonts w:ascii="Arial;sans-serif" w:hAnsi="Arial;sans-serif"/>
                  <w:b w:val="false"/>
                  <w:color w:val="0000FF"/>
                  <w:sz w:val="18"/>
                  <w:u w:val="single"/>
                </w:rPr>
                <w:t>Item 2.</w:t>
              </w:r>
            </w:hyperlink>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0">
              <w:r>
                <w:rPr>
                  <w:rStyle w:val="InternetLink"/>
                  <w:rFonts w:ascii="Arial;sans-serif" w:hAnsi="Arial;sans-serif"/>
                  <w:b w:val="false"/>
                  <w:color w:val="0000FF"/>
                  <w:sz w:val="18"/>
                  <w:u w:val="single"/>
                </w:rPr>
                <w:t>Unregistered Sales of Equity Securities and Use of Proceeds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30">
              <w:r>
                <w:rPr>
                  <w:rStyle w:val="InternetLink"/>
                  <w:rFonts w:ascii="Arial;sans-serif" w:hAnsi="Arial;sans-serif"/>
                  <w:b w:val="false"/>
                  <w:color w:val="0000FF"/>
                  <w:sz w:val="18"/>
                  <w:u w:val="single"/>
                </w:rPr>
                <w:t>37</w:t>
              </w:r>
            </w:hyperlink>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3">
              <w:r>
                <w:rPr>
                  <w:rStyle w:val="InternetLink"/>
                  <w:rFonts w:ascii="Arial;sans-serif" w:hAnsi="Arial;sans-serif"/>
                  <w:b w:val="false"/>
                  <w:color w:val="0000FF"/>
                  <w:sz w:val="18"/>
                  <w:u w:val="single"/>
                </w:rPr>
                <w:t>Item 3.</w:t>
              </w:r>
            </w:hyperlink>
          </w:p>
        </w:tc>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3">
              <w:r>
                <w:rPr>
                  <w:rStyle w:val="InternetLink"/>
                  <w:rFonts w:ascii="Arial;sans-serif" w:hAnsi="Arial;sans-serif"/>
                  <w:b w:val="false"/>
                  <w:color w:val="0000FF"/>
                  <w:sz w:val="18"/>
                  <w:u w:val="single"/>
                </w:rPr>
                <w:t>Defaults upon Senior Securities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33">
              <w:r>
                <w:rPr>
                  <w:rStyle w:val="InternetLink"/>
                  <w:rFonts w:ascii="Arial;sans-serif" w:hAnsi="Arial;sans-serif"/>
                  <w:b w:val="false"/>
                  <w:color w:val="0000FF"/>
                  <w:sz w:val="18"/>
                  <w:u w:val="single"/>
                </w:rPr>
                <w:t>37</w:t>
              </w:r>
            </w:hyperlink>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6">
              <w:r>
                <w:rPr>
                  <w:rStyle w:val="InternetLink"/>
                  <w:rFonts w:ascii="Arial;sans-serif" w:hAnsi="Arial;sans-serif"/>
                  <w:b w:val="false"/>
                  <w:color w:val="0000FF"/>
                  <w:sz w:val="18"/>
                  <w:u w:val="single"/>
                </w:rPr>
                <w:t>Item 4.</w:t>
              </w:r>
            </w:hyperlink>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6">
              <w:r>
                <w:rPr>
                  <w:rStyle w:val="InternetLink"/>
                  <w:rFonts w:ascii="Arial;sans-serif" w:hAnsi="Arial;sans-serif"/>
                  <w:b w:val="false"/>
                  <w:color w:val="0000FF"/>
                  <w:sz w:val="18"/>
                  <w:u w:val="single"/>
                </w:rPr>
                <w:t>Mine Safety Disclosures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36">
              <w:r>
                <w:rPr>
                  <w:rStyle w:val="InternetLink"/>
                  <w:rFonts w:ascii="Arial;sans-serif" w:hAnsi="Arial;sans-serif"/>
                  <w:b w:val="false"/>
                  <w:color w:val="0000FF"/>
                  <w:sz w:val="18"/>
                  <w:u w:val="single"/>
                </w:rPr>
                <w:t>37</w:t>
              </w:r>
            </w:hyperlink>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9">
              <w:r>
                <w:rPr>
                  <w:rStyle w:val="InternetLink"/>
                  <w:rFonts w:ascii="Arial;sans-serif" w:hAnsi="Arial;sans-serif"/>
                  <w:b w:val="false"/>
                  <w:color w:val="0000FF"/>
                  <w:sz w:val="18"/>
                  <w:u w:val="single"/>
                </w:rPr>
                <w:t>Item 5.</w:t>
              </w:r>
            </w:hyperlink>
          </w:p>
        </w:tc>
        <w:tc>
          <w:tcPr>
            <w:tcW w:w="8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39">
              <w:r>
                <w:rPr>
                  <w:rStyle w:val="InternetLink"/>
                  <w:rFonts w:ascii="Arial;sans-serif" w:hAnsi="Arial;sans-serif"/>
                  <w:b w:val="false"/>
                  <w:color w:val="0000FF"/>
                  <w:sz w:val="18"/>
                  <w:u w:val="single"/>
                </w:rPr>
                <w:t>Other Information</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39">
              <w:r>
                <w:rPr>
                  <w:rStyle w:val="InternetLink"/>
                  <w:rFonts w:ascii="Arial;sans-serif" w:hAnsi="Arial;sans-serif"/>
                  <w:b w:val="false"/>
                  <w:color w:val="0000FF"/>
                  <w:sz w:val="18"/>
                  <w:u w:val="single"/>
                </w:rPr>
                <w:t>38</w:t>
              </w:r>
            </w:hyperlink>
          </w:p>
        </w:tc>
      </w:tr>
      <w:tr>
        <w:trPr/>
        <w:tc>
          <w:tcPr>
            <w:tcW w:w="1162"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42">
              <w:r>
                <w:rPr>
                  <w:rStyle w:val="InternetLink"/>
                  <w:rFonts w:ascii="Arial;sans-serif" w:hAnsi="Arial;sans-serif"/>
                  <w:b w:val="false"/>
                  <w:color w:val="0000FF"/>
                  <w:sz w:val="18"/>
                  <w:u w:val="single"/>
                </w:rPr>
                <w:t>Item 6.</w:t>
              </w:r>
            </w:hyperlink>
          </w:p>
        </w:tc>
        <w:tc>
          <w:tcPr>
            <w:tcW w:w="8154"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14dbd90247bd4fc9b423fff1380bd4ce_142">
              <w:r>
                <w:rPr>
                  <w:rStyle w:val="InternetLink"/>
                  <w:rFonts w:ascii="Arial;sans-serif" w:hAnsi="Arial;sans-serif"/>
                  <w:b w:val="false"/>
                  <w:color w:val="0000FF"/>
                  <w:sz w:val="18"/>
                  <w:u w:val="single"/>
                </w:rPr>
                <w:t>Exhibits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14dbd90247bd4fc9b423fff1380bd4ce_142">
              <w:r>
                <w:rPr>
                  <w:rStyle w:val="InternetLink"/>
                  <w:rFonts w:ascii="Arial;sans-serif" w:hAnsi="Arial;sans-serif"/>
                  <w:b w:val="false"/>
                  <w:color w:val="0000FF"/>
                  <w:sz w:val="18"/>
                  <w:u w:val="singl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97"/>
        <w:gridCol w:w="1458"/>
        <w:gridCol w:w="14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9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of the Company used in computing earnings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Class A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20"/>
        <w:gridCol w:w="1586"/>
        <w:gridCol w:w="16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before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 adjustments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settlement/curtailment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pension liability adjustments: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loss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related to items of other comprehensive income: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settlement/curtailment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78,379 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Company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78,291 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903"/>
        <w:gridCol w:w="2278"/>
        <w:gridCol w:w="2057"/>
        <w:gridCol w:w="196"/>
        <w:gridCol w:w="871"/>
        <w:gridCol w:w="109"/>
        <w:gridCol w:w="109"/>
        <w:gridCol w:w="109"/>
        <w:gridCol w:w="109"/>
        <w:gridCol w:w="234"/>
        <w:gridCol w:w="1042"/>
        <w:gridCol w:w="188"/>
      </w:tblGrid>
      <w:tr>
        <w:trPr/>
        <w:tc>
          <w:tcPr>
            <w:tcW w:w="290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112,350 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87,102 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43,937 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293,783 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928,835 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162,507 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68,499 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1,711,365 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1,718,709 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64,499 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139,385 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held for sale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203,323 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442,297 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455,663 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86,850 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959,276 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986,607 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17)</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$5.00 per share; authorized 2,000,000 shares; none issued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$0.001 per share; authorized 100,000,000 shares; 41,056,929 issued in 2026 and 40,989,106 in 2025</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976,373 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items of other comprehensive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(119,008)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postretirement liability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valuation adjustment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(Class A), at cost; 12,685,782 shares in 2026 and 12,685,782 in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(567,139)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745,689 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726,209 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732,102 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1,718,709 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638" w:type="dxa"/>
        <w:jc w:val="left"/>
        <w:tblInd w:w="0" w:type="dxa"/>
        <w:tblLayout w:type="fixed"/>
        <w:tblCellMar>
          <w:top w:w="28" w:type="dxa"/>
          <w:left w:w="28" w:type="dxa"/>
          <w:bottom w:w="28" w:type="dxa"/>
          <w:right w:w="28" w:type="dxa"/>
        </w:tblCellMar>
      </w:tblPr>
      <w:tblGrid>
        <w:gridCol w:w="2339"/>
        <w:gridCol w:w="2054"/>
        <w:gridCol w:w="2071"/>
        <w:gridCol w:w="109"/>
        <w:gridCol w:w="109"/>
        <w:gridCol w:w="121"/>
        <w:gridCol w:w="121"/>
        <w:gridCol w:w="121"/>
        <w:gridCol w:w="121"/>
        <w:gridCol w:w="218"/>
        <w:gridCol w:w="720"/>
        <w:gridCol w:w="121"/>
        <w:gridCol w:w="109"/>
        <w:gridCol w:w="109"/>
        <w:gridCol w:w="109"/>
        <w:gridCol w:w="196"/>
        <w:gridCol w:w="736"/>
        <w:gridCol w:w="154"/>
      </w:tblGrid>
      <w:tr>
        <w:trPr/>
        <w:tc>
          <w:tcPr>
            <w:tcW w:w="233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Loss/(gain) on disposal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paid or payable in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Provision/(recovery) for credit losses from uncollected receivables and 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remeasurement loss/(gain) on intercompany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that provided/(used)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received from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in lieu of share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77,349 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6617" w:type="dxa"/>
        <w:jc w:val="center"/>
        <w:tblInd w:w="0" w:type="dxa"/>
        <w:tblLayout w:type="fixed"/>
        <w:tblCellMar>
          <w:top w:w="28" w:type="dxa"/>
          <w:left w:w="28" w:type="dxa"/>
          <w:bottom w:w="28" w:type="dxa"/>
          <w:right w:w="28" w:type="dxa"/>
        </w:tblCellMar>
      </w:tblPr>
      <w:tblGrid>
        <w:gridCol w:w="1336"/>
        <w:gridCol w:w="1175"/>
        <w:gridCol w:w="1178"/>
        <w:gridCol w:w="109"/>
        <w:gridCol w:w="109"/>
        <w:gridCol w:w="109"/>
        <w:gridCol w:w="109"/>
        <w:gridCol w:w="109"/>
        <w:gridCol w:w="109"/>
        <w:gridCol w:w="196"/>
        <w:gridCol w:w="646"/>
        <w:gridCol w:w="109"/>
        <w:gridCol w:w="109"/>
        <w:gridCol w:w="109"/>
        <w:gridCol w:w="109"/>
        <w:gridCol w:w="196"/>
        <w:gridCol w:w="64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1.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does not include all disclosures normally required for the annual financial statements prepared in accordance with accounting principles generally accepted in the United States ("GAAP"). All such adjustments are of a normal recurring nature, unless otherwise disclosed in this report. Certain amounts in prior year financial statements and notes thereto have been reclassified to conform to current year presentation. The information included in this Quarterly Report on Form 10-Q should be read in conjunction with the Company’s Annual Report on Form 10-K for the year ended December 31, 2025.</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credit losses, rebates and sales allowances, inventory allowances, financial instruments, including derivatives, pension and other postretirement benefits, stock-based compensation, assets and liabilities held-for-sale,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Recent Accounting Pronouncements Not Yet Adopted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December 2025, the FASB issued ASU No. 2025-11, Interim Reporting (Topic 270): Narrow Scope Improvements. The ASU clarifies the applicability of Topic 270 and the form and content of interim financial statements. In addition, it requires entities to disclose material events occurring since the last annual reporting period. The guidance will be effective for interim periods beginning January 1, 2028 and can be applied on a prospective or retrospective basis. We are evaluating the disclosure impact of this guidance; however, the standard will not have an impact on the company’s consolidated financial position, results of operations or cash flows.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November 2025, the FASB issued ASU No. 2025</w:t>
        <w:noBreakHyphen/>
        <w:t>09, Derivatives and Hedging (Topic 815): Hedge Accounting Improvements. The ASU makes targeted amendments to hedge accounting guidance intended to better align hedge accounting results with an entity’s risk management activities, including changes related to cash flow hedges, forecasted transactions, and certain debt</w:t>
        <w:noBreakHyphen/>
        <w:t>related hedging strategies. The guidance is effective for the Company for fiscal years beginning after December 15, 2026, and interim periods within those fiscal years. Early adoption is permitted. The Company is currently evaluating the impact of this guidance on its consolidated financial statements and related disclosures.</w:t>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In September 2025, the FASB issued ASU No. 2025-06 to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retrospectively or using a modified transition approach. We are evaluating the impact of this guidance on our consolidated financial statements.</w:t>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 xml:space="preserve">In November 2024, the FASB issued ASU No. 2024-03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Additionally, 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annual and interim basis, a qualitative description is required for amounts remaining in relevant expense captions that are not separately disaggregated quantitatively. A relevant expense caption is an expense caption presented on the face of the income statement that contains any of the expense categories noted. The guidance also requires certain amounts that are currently required to be disclosed to be included in the same tabular disclosure as these disaggregation requirements. Furthermore, on an annual and interim basis, a public entity is required to separately disclose selling expenses and annually, disclose a description of the selling expenses. The guidance is effective for 2027 annual reporting, and in the first quarter of 2028 for interim reporting, with early adoption permitted, to be applied on a prospective basis, with retrospective application permitted. We are evaluating the impact of this guidance on our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2. Reportable Segments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 ("CODM"), reviews operating results for the purpose of allocating resources and assessing performance. Our CODM evaluates each segment's performance based on metrics such as net revenues, gross profit, and other key financial data, to assess performance and allocate resources that align with company-wide goals. The Company has not aggregated operating segments for purposes of identifying reportable segments.</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i/>
          <w:color w:val="000000"/>
          <w:sz w:val="20"/>
        </w:rPr>
      </w:pPr>
      <w:r>
        <w:rPr>
          <w:rFonts w:ascii="Arial;sans-serif" w:hAnsi="Arial;sans-serif"/>
          <w:b/>
          <w:i/>
          <w:color w:val="000000"/>
          <w:sz w:val="20"/>
        </w:rPr>
        <w:t>Machine Clothing: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Machine Clothing segment supplies permeable and impermeable belts used in the manufacture of paper, paperboard, tissue and towel products, nonwovens, fiber cement and for several other industrial applications. We sell our MC products directly to customer end-users in countries across the globe. Our products, manufacturing processes, and distribution channels are substantially the same in each region of the world in which we operate.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design, manufacture, and market paper machine clothing (used in the manufacture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pStyle w:val="TextBody"/>
        <w:bidi w:val="0"/>
        <w:spacing w:lineRule="auto" w:line="288" w:before="60" w:after="283"/>
        <w:jc w:val="both"/>
        <w:rPr>
          <w:rFonts w:ascii="Arial;sans-serif" w:hAnsi="Arial;sans-serif"/>
          <w:b/>
          <w:i/>
          <w:color w:val="000000"/>
          <w:sz w:val="20"/>
        </w:rPr>
      </w:pPr>
      <w:r>
        <w:rPr>
          <w:rFonts w:ascii="Arial;sans-serif" w:hAnsi="Arial;sans-serif"/>
          <w:b/>
          <w:i/>
          <w:color w:val="000000"/>
          <w:sz w:val="20"/>
        </w:rPr>
        <w:t>Albany Engineered Composites:</w:t>
      </w:r>
    </w:p>
    <w:p>
      <w:pPr>
        <w:pStyle w:val="TextBody"/>
        <w:bidi w:val="0"/>
        <w:spacing w:lineRule="auto" w:line="288" w:before="120" w:after="283"/>
        <w:jc w:val="both"/>
        <w:rPr/>
      </w:pPr>
      <w:r>
        <w:rPr>
          <w:rFonts w:ascii="Arial;sans-serif" w:hAnsi="Arial;sans-serif"/>
          <w:b w:val="false"/>
          <w:color w:val="000000"/>
          <w:sz w:val="20"/>
        </w:rPr>
        <w:t xml:space="preserve">The Albany Engineered Composites segment provides highly engineered, advanced composite solutions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t>
      </w:r>
      <w:r>
        <w:rPr>
          <w:rFonts w:ascii="Arial;sans-serif" w:hAnsi="Arial;sans-serif"/>
          <w:b w:val="false"/>
          <w:color w:val="000000"/>
          <w:sz w:val="20"/>
          <w:shd w:fill="FFFFFF" w:val="clear"/>
        </w:rPr>
        <w:t>where revenue is determined by a cost-plus-fee agreement.</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2025, approximately 35% of AEC's revenues were related to U.S. government contracts or programs.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tables show data by reportable segment that is regularly provided to the CODM, reconciled to consolidated totals included in the financial statements along with other segment data: </w:t>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Reconciliation of Net Revenues to Operating Income(loss):</w:t>
      </w:r>
    </w:p>
    <w:tbl>
      <w:tblPr>
        <w:tblW w:w="9746" w:type="dxa"/>
        <w:jc w:val="left"/>
        <w:tblInd w:w="0" w:type="dxa"/>
        <w:tblLayout w:type="fixed"/>
        <w:tblCellMar>
          <w:top w:w="28" w:type="dxa"/>
          <w:left w:w="28" w:type="dxa"/>
          <w:bottom w:w="28" w:type="dxa"/>
          <w:right w:w="28" w:type="dxa"/>
        </w:tblCellMar>
      </w:tblPr>
      <w:tblGrid>
        <w:gridCol w:w="1372"/>
        <w:gridCol w:w="1210"/>
        <w:gridCol w:w="1212"/>
        <w:gridCol w:w="109"/>
        <w:gridCol w:w="109"/>
        <w:gridCol w:w="109"/>
        <w:gridCol w:w="211"/>
        <w:gridCol w:w="841"/>
        <w:gridCol w:w="109"/>
        <w:gridCol w:w="109"/>
        <w:gridCol w:w="109"/>
        <w:gridCol w:w="109"/>
        <w:gridCol w:w="211"/>
        <w:gridCol w:w="841"/>
        <w:gridCol w:w="109"/>
        <w:gridCol w:w="109"/>
        <w:gridCol w:w="109"/>
        <w:gridCol w:w="109"/>
        <w:gridCol w:w="211"/>
        <w:gridCol w:w="796"/>
        <w:gridCol w:w="109"/>
        <w:gridCol w:w="109"/>
        <w:gridCol w:w="109"/>
        <w:gridCol w:w="109"/>
        <w:gridCol w:w="211"/>
        <w:gridCol w:w="841"/>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150,772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329,482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97,763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123,818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221,581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80,947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26,954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107,901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33,490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56,068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11,722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7,973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34,705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(13,996)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32,138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tbl>
      <w:tblPr>
        <w:tblW w:w="9701" w:type="dxa"/>
        <w:jc w:val="left"/>
        <w:tblInd w:w="0" w:type="dxa"/>
        <w:tblLayout w:type="fixed"/>
        <w:tblCellMar>
          <w:top w:w="28" w:type="dxa"/>
          <w:left w:w="28" w:type="dxa"/>
          <w:bottom w:w="28" w:type="dxa"/>
          <w:right w:w="28" w:type="dxa"/>
        </w:tblCellMar>
      </w:tblPr>
      <w:tblGrid>
        <w:gridCol w:w="1372"/>
        <w:gridCol w:w="1210"/>
        <w:gridCol w:w="1212"/>
        <w:gridCol w:w="109"/>
        <w:gridCol w:w="109"/>
        <w:gridCol w:w="10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46" w:type="dxa"/>
        <w:jc w:val="left"/>
        <w:tblInd w:w="0" w:type="dxa"/>
        <w:tblLayout w:type="fixed"/>
        <w:tblCellMar>
          <w:top w:w="28" w:type="dxa"/>
          <w:left w:w="28" w:type="dxa"/>
          <w:bottom w:w="28" w:type="dxa"/>
          <w:right w:w="28" w:type="dxa"/>
        </w:tblCellMar>
      </w:tblPr>
      <w:tblGrid>
        <w:gridCol w:w="1372"/>
        <w:gridCol w:w="1210"/>
        <w:gridCol w:w="1212"/>
        <w:gridCol w:w="109"/>
        <w:gridCol w:w="109"/>
        <w:gridCol w:w="109"/>
        <w:gridCol w:w="211"/>
        <w:gridCol w:w="841"/>
        <w:gridCol w:w="109"/>
        <w:gridCol w:w="109"/>
        <w:gridCol w:w="109"/>
        <w:gridCol w:w="109"/>
        <w:gridCol w:w="211"/>
        <w:gridCol w:w="841"/>
        <w:gridCol w:w="109"/>
        <w:gridCol w:w="109"/>
        <w:gridCol w:w="109"/>
        <w:gridCol w:w="109"/>
        <w:gridCol w:w="211"/>
        <w:gridCol w:w="796"/>
        <w:gridCol w:w="109"/>
        <w:gridCol w:w="109"/>
        <w:gridCol w:w="109"/>
        <w:gridCol w:w="109"/>
        <w:gridCol w:w="211"/>
        <w:gridCol w:w="841"/>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344,662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640,815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244,467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433,120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207,695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66,739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22,901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24,727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114,367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24,679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11,138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66,657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(29,173)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57,511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01" w:type="dxa"/>
        <w:jc w:val="left"/>
        <w:tblInd w:w="0" w:type="dxa"/>
        <w:tblLayout w:type="fixed"/>
        <w:tblCellMar>
          <w:top w:w="28" w:type="dxa"/>
          <w:left w:w="28" w:type="dxa"/>
          <w:bottom w:w="28" w:type="dxa"/>
          <w:right w:w="28" w:type="dxa"/>
        </w:tblCellMar>
      </w:tblPr>
      <w:tblGrid>
        <w:gridCol w:w="1372"/>
        <w:gridCol w:w="1210"/>
        <w:gridCol w:w="1212"/>
        <w:gridCol w:w="109"/>
        <w:gridCol w:w="109"/>
        <w:gridCol w:w="10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Schedule of Depreciation and Amortization Expenses:</w:t>
      </w:r>
    </w:p>
    <w:tbl>
      <w:tblPr>
        <w:tblW w:w="8440" w:type="dxa"/>
        <w:jc w:val="left"/>
        <w:tblInd w:w="0" w:type="dxa"/>
        <w:tblLayout w:type="fixed"/>
        <w:tblCellMar>
          <w:top w:w="28" w:type="dxa"/>
          <w:left w:w="28" w:type="dxa"/>
          <w:bottom w:w="28" w:type="dxa"/>
          <w:right w:w="28" w:type="dxa"/>
        </w:tblCellMar>
      </w:tblPr>
      <w:tblGrid>
        <w:gridCol w:w="1335"/>
        <w:gridCol w:w="1176"/>
        <w:gridCol w:w="1179"/>
        <w:gridCol w:w="247"/>
        <w:gridCol w:w="863"/>
        <w:gridCol w:w="127"/>
        <w:gridCol w:w="247"/>
        <w:gridCol w:w="846"/>
        <w:gridCol w:w="127"/>
        <w:gridCol w:w="226"/>
        <w:gridCol w:w="788"/>
        <w:gridCol w:w="116"/>
        <w:gridCol w:w="226"/>
        <w:gridCol w:w="772"/>
        <w:gridCol w:w="165"/>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Depreciation and amortization</w:t>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8,422</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16,724</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8,561</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17,350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depreciation and amortization</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17,018</w:t>
            </w:r>
            <w:r>
              <w:rPr>
                <w:color w:val="000000"/>
              </w:rPr>
              <w:t>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34,147</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43,042 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Amelia Earhart Drive facility meeting the held-for-sale accounting criteria, the facility's assets and liabilities were classified as held-for-sale in the consolidated balance sheets as of December 31, 2025 and June 30, 2026. Upon classification as held for sale, the Company ceased depreciation and amortization of the related long-lived assets in accordance with applicable accounting guidance.</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Reconciliation of Operating Income/(loss) to Income before income taxes:</w:t>
      </w:r>
    </w:p>
    <w:tbl>
      <w:tblPr>
        <w:tblW w:w="7959" w:type="dxa"/>
        <w:jc w:val="left"/>
        <w:tblInd w:w="0" w:type="dxa"/>
        <w:tblLayout w:type="fixed"/>
        <w:tblCellMar>
          <w:top w:w="28" w:type="dxa"/>
          <w:left w:w="28" w:type="dxa"/>
          <w:bottom w:w="28" w:type="dxa"/>
          <w:right w:w="28" w:type="dxa"/>
        </w:tblCellMar>
      </w:tblPr>
      <w:tblGrid>
        <w:gridCol w:w="1160"/>
        <w:gridCol w:w="1023"/>
        <w:gridCol w:w="1026"/>
        <w:gridCol w:w="247"/>
        <w:gridCol w:w="863"/>
        <w:gridCol w:w="127"/>
        <w:gridCol w:w="247"/>
        <w:gridCol w:w="846"/>
        <w:gridCol w:w="127"/>
        <w:gridCol w:w="226"/>
        <w:gridCol w:w="788"/>
        <w:gridCol w:w="116"/>
        <w:gridCol w:w="226"/>
        <w:gridCol w:w="772"/>
        <w:gridCol w:w="165"/>
      </w:tblGrid>
      <w:tr>
        <w:trPr/>
        <w:tc>
          <w:tcPr>
            <w:tcW w:w="11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Operating income/(loss)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32,138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57,511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Reconciling items:</w:t>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(1,575)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6,761</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13,110</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11,848 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(3,154)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26,031</w:t>
            </w:r>
            <w:r>
              <w:rPr>
                <w:color w:val="000000"/>
              </w:rPr>
              <w:t>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13,586 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49,130</w:t>
            </w:r>
            <w:r>
              <w:rPr>
                <w:color w:val="000000"/>
              </w:rPr>
              <w:t>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37,211 </w:t>
            </w:r>
          </w:p>
        </w:tc>
        <w:tc>
          <w:tcPr>
            <w:tcW w:w="1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assets by reportable segment:</w:t>
      </w:r>
    </w:p>
    <w:tbl>
      <w:tblPr>
        <w:tblW w:w="8218" w:type="dxa"/>
        <w:jc w:val="left"/>
        <w:tblInd w:w="0" w:type="dxa"/>
        <w:tblLayout w:type="fixed"/>
        <w:tblCellMar>
          <w:top w:w="28" w:type="dxa"/>
          <w:left w:w="28" w:type="dxa"/>
          <w:bottom w:w="28" w:type="dxa"/>
          <w:right w:w="28" w:type="dxa"/>
        </w:tblCellMar>
      </w:tblPr>
      <w:tblGrid>
        <w:gridCol w:w="1965"/>
        <w:gridCol w:w="1730"/>
        <w:gridCol w:w="1734"/>
        <w:gridCol w:w="212"/>
        <w:gridCol w:w="848"/>
        <w:gridCol w:w="109"/>
        <w:gridCol w:w="287"/>
        <w:gridCol w:w="1124"/>
        <w:gridCol w:w="209"/>
      </w:tblGrid>
      <w:tr>
        <w:trPr/>
        <w:tc>
          <w:tcPr>
            <w:tcW w:w="196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683,630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618,476 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439,591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491,802 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Reconciling items:</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112,350 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prepaid and receivable, and Deferred income taxes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107,510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112,436 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 and Other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96,563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306,722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293,783 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 assets</w:t>
            </w:r>
          </w:p>
        </w:tc>
        <w:tc>
          <w:tcPr>
            <w:tcW w:w="10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1,711,365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1,718,709 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capital expenditures by reportable segment:</w:t>
      </w:r>
    </w:p>
    <w:tbl>
      <w:tblPr>
        <w:tblW w:w="6523" w:type="dxa"/>
        <w:jc w:val="left"/>
        <w:tblInd w:w="0" w:type="dxa"/>
        <w:tblLayout w:type="fixed"/>
        <w:tblCellMar>
          <w:top w:w="28" w:type="dxa"/>
          <w:left w:w="28" w:type="dxa"/>
          <w:bottom w:w="28" w:type="dxa"/>
          <w:right w:w="28" w:type="dxa"/>
        </w:tblCellMar>
      </w:tblPr>
      <w:tblGrid>
        <w:gridCol w:w="1529"/>
        <w:gridCol w:w="1349"/>
        <w:gridCol w:w="1352"/>
        <w:gridCol w:w="226"/>
        <w:gridCol w:w="788"/>
        <w:gridCol w:w="116"/>
        <w:gridCol w:w="226"/>
        <w:gridCol w:w="772"/>
        <w:gridCol w:w="165"/>
      </w:tblGrid>
      <w:tr>
        <w:trPr/>
        <w:tc>
          <w:tcPr>
            <w:tcW w:w="152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expenditures and purchased software</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11,112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8,337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1,733</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expenditures and purchased software</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21,182</w:t>
            </w:r>
            <w:r>
              <w:rPr>
                <w:color w:val="000000"/>
              </w:rPr>
              <w:t>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30,531 </w:t>
            </w:r>
          </w:p>
        </w:tc>
        <w:tc>
          <w:tcPr>
            <w:tcW w:w="1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3. Revenue Recognition: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materially different if the underlying circumstances were to change. When adjustments in estimated contract revenues or costs are required, any changes from prior estimates are included in earnings in the period the change occurs.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LEAP engine is used on the Airbus A320neo, A321neo, Boeing 737 MAX, and COMAC C919 aircraft. AEC's largest aerospace customer is the SAFRAN Group and sales to SAFRAN (consisting primarily of fan blades and cases for CFM International's LEAP engine) were $53.8 million and $44.4 million for the three months ended June 30, 2026 and 2025, respectively and $102.1 million and $83.8 million for the six months ended June 30, 2026 and 2025. The total of Accounts receivable and Contract assets due from SAFRAN amounted to $53.4 million and $60.8 million as of June 30, 2026 and December 31, 2025, respectively.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Changes in the estimated profitability of long-term contracts could be caused by increases or decreases in the contract value, revisions to customer delivery requirements, updated labor or overhead projections, material costs, factors affecting the supply chain, changes in the evaluation of contract risks and opportunities, or other factors. The cumulative changes in the estimated profitability of long-term contracts decreased revenue by $2.7 million during the second quarter of 2026 and $1.5 million for the first six months of 2026. The cumulative changes in the estimated profitability of long-term contracts increased operating income by $0.2 million during the second quarter of 2026 and decreased operating income by $1.6 million for the six months ended June 30, 2026. The increase in profitability during the second quarter of 2026 was primarily driven by a few large complex programs, including adjustments of $0.9 million for various CH-53K programs, primarily based on changes to future overhead rates over the remainder of the contract. The decrease in profitability during the six months ended June 30, 2026 was primarily driven by a few large complex programs, including adjustments of $2.2 million for various CH-53K programs, primarily based on changes to future overhead rates over the remainder of the contract.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disaggregate revenue earned from contracts with customers for each of our business segments and product groups based on the timing of revenue recognition, and groupings used for internal review purposes.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tbl>
      <w:tblPr>
        <w:tblW w:w="7909" w:type="dxa"/>
        <w:jc w:val="left"/>
        <w:tblInd w:w="0" w:type="dxa"/>
        <w:tblLayout w:type="fixed"/>
        <w:tblCellMar>
          <w:top w:w="28" w:type="dxa"/>
          <w:left w:w="28" w:type="dxa"/>
          <w:bottom w:w="28" w:type="dxa"/>
          <w:right w:w="28" w:type="dxa"/>
        </w:tblCellMar>
      </w:tblPr>
      <w:tblGrid>
        <w:gridCol w:w="1145"/>
        <w:gridCol w:w="1009"/>
        <w:gridCol w:w="1010"/>
        <w:gridCol w:w="342"/>
        <w:gridCol w:w="1368"/>
        <w:gridCol w:w="179"/>
        <w:gridCol w:w="300"/>
        <w:gridCol w:w="1195"/>
        <w:gridCol w:w="155"/>
        <w:gridCol w:w="211"/>
        <w:gridCol w:w="84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Point in Time Revenue</w:t>
              <w:br/>
              <w:t>Recognition</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Time Revenue</w:t>
              <w:br/>
              <w:t>Recognition</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177,658</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178,710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ASC</w:t>
            </w:r>
          </w:p>
        </w:tc>
        <w:tc>
          <w:tcPr>
            <w:tcW w:w="1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52,249</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52,249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4,035</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94,488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98,523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4,035</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146,737</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150,772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181,693</w:t>
            </w:r>
            <w:r>
              <w:rPr>
                <w:color w:val="000000"/>
              </w:rPr>
              <w:t> </w:t>
            </w:r>
          </w:p>
        </w:tc>
        <w:tc>
          <w:tcPr>
            <w:tcW w:w="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147,789</w:t>
            </w:r>
            <w:r>
              <w:rPr>
                <w:color w:val="000000"/>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329,482</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June 30, 2025:</w:t>
      </w:r>
    </w:p>
    <w:tbl>
      <w:tblPr>
        <w:tblW w:w="7894" w:type="dxa"/>
        <w:jc w:val="left"/>
        <w:tblInd w:w="0" w:type="dxa"/>
        <w:tblLayout w:type="fixed"/>
        <w:tblCellMar>
          <w:top w:w="28" w:type="dxa"/>
          <w:left w:w="28" w:type="dxa"/>
          <w:bottom w:w="28" w:type="dxa"/>
          <w:right w:w="28" w:type="dxa"/>
        </w:tblCellMar>
      </w:tblPr>
      <w:tblGrid>
        <w:gridCol w:w="1145"/>
        <w:gridCol w:w="1009"/>
        <w:gridCol w:w="1010"/>
        <w:gridCol w:w="347"/>
        <w:gridCol w:w="1362"/>
        <w:gridCol w:w="181"/>
        <w:gridCol w:w="303"/>
        <w:gridCol w:w="1189"/>
        <w:gridCol w:w="157"/>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179,904 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ASC</w:t>
            </w:r>
          </w:p>
        </w:tc>
        <w:tc>
          <w:tcPr>
            <w:tcW w:w="17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127,413 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130,473 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182,964 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128,435 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disaggregates MC segment revenue by significant product groupings (paper machine clothing ("PMC") and engineered fabrics); and for PMC, the geographical region to which the paper machine clothing was sold:</w:t>
      </w:r>
    </w:p>
    <w:tbl>
      <w:tblPr>
        <w:tblW w:w="7909" w:type="dxa"/>
        <w:jc w:val="left"/>
        <w:tblInd w:w="0" w:type="dxa"/>
        <w:tblLayout w:type="fixed"/>
        <w:tblCellMar>
          <w:top w:w="28" w:type="dxa"/>
          <w:left w:w="28" w:type="dxa"/>
          <w:bottom w:w="28" w:type="dxa"/>
          <w:right w:w="28" w:type="dxa"/>
        </w:tblCellMar>
      </w:tblPr>
      <w:tblGrid>
        <w:gridCol w:w="1145"/>
        <w:gridCol w:w="1009"/>
        <w:gridCol w:w="1010"/>
        <w:gridCol w:w="342"/>
        <w:gridCol w:w="1368"/>
        <w:gridCol w:w="179"/>
        <w:gridCol w:w="300"/>
        <w:gridCol w:w="1195"/>
        <w:gridCol w:w="155"/>
        <w:gridCol w:w="211"/>
        <w:gridCol w:w="84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Point in Time Revenue</w:t>
              <w:br/>
              <w:t>Recognition</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Time Revenue</w:t>
              <w:br/>
              <w:t>Recognition</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342,558</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344,662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ASC</w:t>
            </w:r>
          </w:p>
        </w:tc>
        <w:tc>
          <w:tcPr>
            <w:tcW w:w="1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99,358</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99,358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7,044</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189,751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196,795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7,044</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289,109</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296,153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349,602</w:t>
            </w:r>
            <w:r>
              <w:rPr>
                <w:color w:val="000000"/>
              </w:rPr>
              <w:t> </w:t>
            </w:r>
          </w:p>
        </w:tc>
        <w:tc>
          <w:tcPr>
            <w:tcW w:w="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291,213</w:t>
            </w:r>
            <w:r>
              <w:rPr>
                <w:color w:val="000000"/>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640,815</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tbl>
      <w:tblPr>
        <w:tblW w:w="7894" w:type="dxa"/>
        <w:jc w:val="left"/>
        <w:tblInd w:w="0" w:type="dxa"/>
        <w:tblLayout w:type="fixed"/>
        <w:tblCellMar>
          <w:top w:w="28" w:type="dxa"/>
          <w:left w:w="28" w:type="dxa"/>
          <w:bottom w:w="28" w:type="dxa"/>
          <w:right w:w="28" w:type="dxa"/>
        </w:tblCellMar>
      </w:tblPr>
      <w:tblGrid>
        <w:gridCol w:w="1145"/>
        <w:gridCol w:w="1009"/>
        <w:gridCol w:w="1010"/>
        <w:gridCol w:w="347"/>
        <w:gridCol w:w="1362"/>
        <w:gridCol w:w="181"/>
        <w:gridCol w:w="303"/>
        <w:gridCol w:w="1189"/>
        <w:gridCol w:w="157"/>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353,580 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ASC</w:t>
            </w:r>
          </w:p>
        </w:tc>
        <w:tc>
          <w:tcPr>
            <w:tcW w:w="17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83,766 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237,413 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360,717 </w:t>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239,456 </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600,173 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7961" w:type="dxa"/>
        <w:jc w:val="left"/>
        <w:tblInd w:w="0" w:type="dxa"/>
        <w:tblLayout w:type="fixed"/>
        <w:tblCellMar>
          <w:top w:w="28" w:type="dxa"/>
          <w:left w:w="28" w:type="dxa"/>
          <w:bottom w:w="28" w:type="dxa"/>
          <w:right w:w="28" w:type="dxa"/>
        </w:tblCellMar>
      </w:tblPr>
      <w:tblGrid>
        <w:gridCol w:w="1138"/>
        <w:gridCol w:w="1003"/>
        <w:gridCol w:w="1008"/>
        <w:gridCol w:w="225"/>
        <w:gridCol w:w="897"/>
        <w:gridCol w:w="116"/>
        <w:gridCol w:w="225"/>
        <w:gridCol w:w="881"/>
        <w:gridCol w:w="116"/>
        <w:gridCol w:w="211"/>
        <w:gridCol w:w="841"/>
        <w:gridCol w:w="109"/>
        <w:gridCol w:w="211"/>
        <w:gridCol w:w="826"/>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PMC</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82,735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Eurasia PMC</w:t>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77,294</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71,161 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147,050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139,358 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Fabrics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18,681</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38,768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Machine Clothing Net revenues</w:t>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178,710</w:t>
            </w:r>
            <w:r>
              <w:rPr>
                <w:color w:val="000000"/>
              </w:rPr>
              <w:t>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180,926 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344,662</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355,623 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$977.5 million related primarily to firm fixed price contracts in the AEC segment. Of the remaining performance obligations as of June 30, 2026, we expect to recognize as revenue approximately $81.7 million during 2026, $191.4 million during 2027, $153.4 million during 2028,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4</w:t>
      </w:r>
      <w:bookmarkStart w:id="0" w:name="i6caf14d621254fc4a53386d9d5a4ba01_1296"/>
      <w:bookmarkEnd w:id="0"/>
      <w:r>
        <w:rPr>
          <w:rFonts w:ascii="Arial;sans-serif" w:hAnsi="Arial;sans-serif"/>
          <w:b/>
          <w:i/>
          <w:color w:val="000000"/>
          <w:sz w:val="20"/>
        </w:rPr>
        <w:t>. Pensions and Other Postretirement Benefit Plans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composition of the net periodic benefit cost/(income) for the six months ended June 30, 2026 and 2025, was as follows:</w:t>
      </w:r>
    </w:p>
    <w:tbl>
      <w:tblPr>
        <w:tblW w:w="8407" w:type="dxa"/>
        <w:jc w:val="left"/>
        <w:tblInd w:w="0" w:type="dxa"/>
        <w:tblLayout w:type="fixed"/>
        <w:tblCellMar>
          <w:top w:w="28" w:type="dxa"/>
          <w:left w:w="28" w:type="dxa"/>
          <w:bottom w:w="28" w:type="dxa"/>
          <w:right w:w="28" w:type="dxa"/>
        </w:tblCellMar>
      </w:tblPr>
      <w:tblGrid>
        <w:gridCol w:w="1502"/>
        <w:gridCol w:w="1325"/>
        <w:gridCol w:w="1328"/>
        <w:gridCol w:w="211"/>
        <w:gridCol w:w="631"/>
        <w:gridCol w:w="109"/>
        <w:gridCol w:w="215"/>
        <w:gridCol w:w="475"/>
        <w:gridCol w:w="109"/>
        <w:gridCol w:w="323"/>
        <w:gridCol w:w="738"/>
        <w:gridCol w:w="167"/>
        <w:gridCol w:w="323"/>
        <w:gridCol w:w="715"/>
        <w:gridCol w:w="236"/>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plans</w:t>
            </w:r>
          </w:p>
        </w:tc>
        <w:tc>
          <w:tcPr>
            <w:tcW w:w="250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benefit cost/(income):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663</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Curtailment cost/(income)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Settlement cost/(income)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amount of net periodic benefit cost/(credit) is determined at the beginning of each year and generally only varies from quarter to quarter when a significant event occurs, such as a curtailment or a settlement. There were no material curtailments or settlements during the six months ended June 30, 2026. In the first six months of 2025, we took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to settle certain pension plan liabilities related to an MC pension plan in Switzerland, resulting in a net gain totaling $1.6 million.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Service cost for defined benefit pension and postretirement plans is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5. Restructuring</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At MC, restructuring actions were taken in 2026 and 2025 to consolidate production activities across multiple facilities. For the three and six months ended June 30, 2026, restructuring expenses were related to transfers of fixed assets to other locations including overseas, workforce reductions, and manufacturing expenses related to ceased production. For the three months ended June 30, 2025, these actions were related to workforce reductions of $3.0 million. For the six months ended June 30, 2025, restructuring charges were related to workforce reductions, fixed asset impairments and related costs and inventory write-off costs of $6.1 million offset by a $1.8 million pension curtailment gain.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At AEC, restructuring activities in prior year were related to reorganizational and workforce reduction costs, which resulted in restructuring expenses of $0.5 million and $1.7 million for the three and six months ended June 30, 2025, respectively. AEC did not incur any restructuring costs for the three and six months ended June 30,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charges reported in the Consolidated Statements of Income under "Restructuring expenses, net" and "Cost of goods sold":</w:t>
      </w:r>
    </w:p>
    <w:tbl>
      <w:tblPr>
        <w:tblW w:w="7468" w:type="dxa"/>
        <w:jc w:val="left"/>
        <w:tblInd w:w="0" w:type="dxa"/>
        <w:tblLayout w:type="fixed"/>
        <w:tblCellMar>
          <w:top w:w="28" w:type="dxa"/>
          <w:left w:w="28" w:type="dxa"/>
          <w:bottom w:w="28" w:type="dxa"/>
          <w:right w:w="28" w:type="dxa"/>
        </w:tblCellMar>
      </w:tblPr>
      <w:tblGrid>
        <w:gridCol w:w="982"/>
        <w:gridCol w:w="865"/>
        <w:gridCol w:w="867"/>
        <w:gridCol w:w="273"/>
        <w:gridCol w:w="816"/>
        <w:gridCol w:w="141"/>
        <w:gridCol w:w="273"/>
        <w:gridCol w:w="816"/>
        <w:gridCol w:w="141"/>
        <w:gridCol w:w="236"/>
        <w:gridCol w:w="823"/>
        <w:gridCol w:w="121"/>
        <w:gridCol w:w="236"/>
        <w:gridCol w:w="706"/>
        <w:gridCol w:w="172"/>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June 30,</w:t>
            </w:r>
          </w:p>
        </w:tc>
        <w:tc>
          <w:tcPr>
            <w:tcW w:w="22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6,389</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3,015</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9,065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4,618</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520</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1,688</w:t>
            </w: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648</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2,073</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648</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7,973</w:t>
            </w:r>
            <w:r>
              <w:rPr>
                <w:color w:val="000000"/>
              </w:rPr>
              <w:t> </w:t>
            </w:r>
          </w:p>
        </w:tc>
        <w:tc>
          <w:tcPr>
            <w:tcW w:w="1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4,183</w:t>
            </w:r>
            <w:r>
              <w:rPr>
                <w:color w:val="000000"/>
              </w:rPr>
              <w:t> </w:t>
            </w:r>
          </w:p>
        </w:tc>
        <w:tc>
          <w:tcPr>
            <w:tcW w:w="1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11,138</w:t>
            </w:r>
            <w:r>
              <w:rPr>
                <w:color w:val="000000"/>
              </w:rPr>
              <w:t>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6,954</w:t>
            </w:r>
            <w:r>
              <w:rPr>
                <w:color w:val="000000"/>
              </w:rPr>
              <w:t> </w:t>
            </w:r>
          </w:p>
        </w:tc>
        <w:tc>
          <w:tcPr>
            <w:tcW w:w="1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charges by type of expense reported in the Consolidated Statements of Income under "Restructuring expenses, net" and "Cost of goods sold":</w:t>
      </w:r>
    </w:p>
    <w:tbl>
      <w:tblPr>
        <w:tblW w:w="6838" w:type="dxa"/>
        <w:jc w:val="left"/>
        <w:tblInd w:w="0" w:type="dxa"/>
        <w:tblLayout w:type="fixed"/>
        <w:tblCellMar>
          <w:top w:w="28" w:type="dxa"/>
          <w:left w:w="28" w:type="dxa"/>
          <w:bottom w:w="28" w:type="dxa"/>
          <w:right w:w="28" w:type="dxa"/>
        </w:tblCellMar>
      </w:tblPr>
      <w:tblGrid>
        <w:gridCol w:w="981"/>
        <w:gridCol w:w="863"/>
        <w:gridCol w:w="870"/>
        <w:gridCol w:w="247"/>
        <w:gridCol w:w="868"/>
        <w:gridCol w:w="129"/>
        <w:gridCol w:w="236"/>
        <w:gridCol w:w="707"/>
        <w:gridCol w:w="123"/>
        <w:gridCol w:w="384"/>
        <w:gridCol w:w="1150"/>
        <w:gridCol w:w="280"/>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2026</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restructuring</w:t>
              <w:br/>
              <w:t>costs incurred</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w:t>
              <w:br/>
              <w:t>and other</w:t>
              <w:br/>
              <w:t>costs</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 Transfer Costs</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9,065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4,665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4,400</w:t>
            </w: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2,073</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11,138</w:t>
            </w:r>
            <w:r>
              <w:rPr>
                <w:color w:val="000000"/>
              </w:rPr>
              <w:t> </w:t>
            </w:r>
          </w:p>
        </w:tc>
        <w:tc>
          <w:tcPr>
            <w:tcW w:w="1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6,738</w:t>
            </w:r>
            <w:r>
              <w:rPr>
                <w:color w:val="000000"/>
              </w:rPr>
              <w:t>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4,400</w:t>
            </w:r>
            <w:r>
              <w:rPr>
                <w:color w:val="000000"/>
              </w:rPr>
              <w:t> </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40" w:type="dxa"/>
        <w:jc w:val="left"/>
        <w:tblInd w:w="0" w:type="dxa"/>
        <w:tblLayout w:type="fixed"/>
        <w:tblCellMar>
          <w:top w:w="28" w:type="dxa"/>
          <w:left w:w="28" w:type="dxa"/>
          <w:bottom w:w="28" w:type="dxa"/>
          <w:right w:w="28" w:type="dxa"/>
        </w:tblCellMar>
      </w:tblPr>
      <w:tblGrid>
        <w:gridCol w:w="981"/>
        <w:gridCol w:w="863"/>
        <w:gridCol w:w="870"/>
        <w:gridCol w:w="280"/>
        <w:gridCol w:w="819"/>
        <w:gridCol w:w="146"/>
        <w:gridCol w:w="240"/>
        <w:gridCol w:w="701"/>
        <w:gridCol w:w="125"/>
        <w:gridCol w:w="475"/>
        <w:gridCol w:w="1049"/>
        <w:gridCol w:w="246"/>
        <w:gridCol w:w="577"/>
        <w:gridCol w:w="1744"/>
        <w:gridCol w:w="424"/>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2025</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restructuring</w:t>
              <w:br/>
              <w:t>costs incurred</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w:t>
              <w:br/>
              <w:t>and other</w:t>
              <w:br/>
              <w:t>costs</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Impairment of assets</w:t>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Pension Curtailment (Gain)/Loss</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6,954 </w:t>
            </w:r>
          </w:p>
        </w:tc>
        <w:tc>
          <w:tcPr>
            <w:tcW w:w="1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7,991 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2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w:t>
            </w:r>
          </w:p>
        </w:tc>
        <w:tc>
          <w:tcPr>
            <w:tcW w:w="4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presents the year-to-date changes in restructuring liabilities for 2026 and 2025:</w:t>
      </w:r>
    </w:p>
    <w:tbl>
      <w:tblPr>
        <w:tblW w:w="9073" w:type="dxa"/>
        <w:jc w:val="left"/>
        <w:tblInd w:w="0" w:type="dxa"/>
        <w:tblLayout w:type="fixed"/>
        <w:tblCellMar>
          <w:top w:w="28" w:type="dxa"/>
          <w:left w:w="28" w:type="dxa"/>
          <w:bottom w:w="28" w:type="dxa"/>
          <w:right w:w="28" w:type="dxa"/>
        </w:tblCellMar>
      </w:tblPr>
      <w:tblGrid>
        <w:gridCol w:w="1149"/>
        <w:gridCol w:w="1014"/>
        <w:gridCol w:w="1016"/>
        <w:gridCol w:w="349"/>
        <w:gridCol w:w="1045"/>
        <w:gridCol w:w="180"/>
        <w:gridCol w:w="281"/>
        <w:gridCol w:w="983"/>
        <w:gridCol w:w="147"/>
        <w:gridCol w:w="320"/>
        <w:gridCol w:w="1209"/>
        <w:gridCol w:w="165"/>
        <w:gridCol w:w="257"/>
        <w:gridCol w:w="770"/>
        <w:gridCol w:w="188"/>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and other</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restructuring and other liabilities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2,766</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11,138</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(12,433)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1,471</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73" w:type="dxa"/>
        <w:jc w:val="left"/>
        <w:tblInd w:w="0" w:type="dxa"/>
        <w:tblLayout w:type="fixed"/>
        <w:tblCellMar>
          <w:top w:w="28" w:type="dxa"/>
          <w:left w:w="28" w:type="dxa"/>
          <w:bottom w:w="28" w:type="dxa"/>
          <w:right w:w="28" w:type="dxa"/>
        </w:tblCellMar>
      </w:tblPr>
      <w:tblGrid>
        <w:gridCol w:w="1149"/>
        <w:gridCol w:w="1014"/>
        <w:gridCol w:w="1016"/>
        <w:gridCol w:w="355"/>
        <w:gridCol w:w="1037"/>
        <w:gridCol w:w="183"/>
        <w:gridCol w:w="318"/>
        <w:gridCol w:w="928"/>
        <w:gridCol w:w="165"/>
        <w:gridCol w:w="353"/>
        <w:gridCol w:w="1159"/>
        <w:gridCol w:w="182"/>
        <w:gridCol w:w="261"/>
        <w:gridCol w:w="763"/>
        <w:gridCol w:w="190"/>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and other</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restructuring and other liabilities</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(8,441)</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6. Other (Income)/Expense,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components of Other (income)/expense, net are:</w:t>
      </w:r>
    </w:p>
    <w:tbl>
      <w:tblPr>
        <w:tblW w:w="10205" w:type="dxa"/>
        <w:jc w:val="left"/>
        <w:tblInd w:w="0" w:type="dxa"/>
        <w:tblLayout w:type="fixed"/>
        <w:tblCellMar>
          <w:top w:w="28" w:type="dxa"/>
          <w:left w:w="28" w:type="dxa"/>
          <w:bottom w:w="28" w:type="dxa"/>
          <w:right w:w="28" w:type="dxa"/>
        </w:tblCellMar>
      </w:tblPr>
      <w:tblGrid>
        <w:gridCol w:w="2099"/>
        <w:gridCol w:w="1790"/>
        <w:gridCol w:w="1797"/>
        <w:gridCol w:w="271"/>
        <w:gridCol w:w="684"/>
        <w:gridCol w:w="140"/>
        <w:gridCol w:w="271"/>
        <w:gridCol w:w="793"/>
        <w:gridCol w:w="140"/>
        <w:gridCol w:w="236"/>
        <w:gridCol w:w="760"/>
        <w:gridCol w:w="121"/>
        <w:gridCol w:w="236"/>
        <w:gridCol w:w="689"/>
        <w:gridCol w:w="178"/>
      </w:tblGrid>
      <w:tr>
        <w:trPr/>
        <w:tc>
          <w:tcPr>
            <w:tcW w:w="209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2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6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Currency transaction losses/(gains)</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(539)</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(2,691)</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 losses/(gains)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(1,454)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5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pension and postretirement cost other than service cost</w:t>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1,478</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2,961</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losses/(gains)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(income)/expense, net</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(3,154)</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4,517 </w:t>
            </w:r>
          </w:p>
        </w:tc>
        <w:tc>
          <w:tcPr>
            <w:tcW w:w="1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Currency transaction losses/(gains), included within other (income)/expense, net were primarily the result of both realized and unrealized losses/(gains) on intercompany loans. In addition, changes in the fair value of derivative instruments included gains driven by currency rate movements, most notably the Brazilian Real and Mexican Peso.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7.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effective income tax rate for the three and six months ended June 30, 2026 and 2025, is as follows:</w:t>
      </w:r>
    </w:p>
    <w:tbl>
      <w:tblPr>
        <w:tblW w:w="6911" w:type="dxa"/>
        <w:jc w:val="left"/>
        <w:tblInd w:w="0" w:type="dxa"/>
        <w:tblLayout w:type="fixed"/>
        <w:tblCellMar>
          <w:top w:w="28" w:type="dxa"/>
          <w:left w:w="28" w:type="dxa"/>
          <w:bottom w:w="28" w:type="dxa"/>
          <w:right w:w="28" w:type="dxa"/>
        </w:tblCellMar>
      </w:tblPr>
      <w:tblGrid>
        <w:gridCol w:w="761"/>
        <w:gridCol w:w="668"/>
        <w:gridCol w:w="670"/>
        <w:gridCol w:w="274"/>
        <w:gridCol w:w="274"/>
        <w:gridCol w:w="681"/>
        <w:gridCol w:w="274"/>
        <w:gridCol w:w="274"/>
        <w:gridCol w:w="681"/>
        <w:gridCol w:w="263"/>
        <w:gridCol w:w="263"/>
        <w:gridCol w:w="608"/>
        <w:gridCol w:w="255"/>
        <w:gridCol w:w="256"/>
        <w:gridCol w:w="709"/>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3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32.0</w:t>
            </w:r>
            <w:r>
              <w:rPr>
                <w:color w:val="000000"/>
              </w:rPr>
              <w:t>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w:t>
            </w: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Income tax expense for the quarter was computed in accordance with ASC 740-270, Income Taxes – Interim Reporting. Under this method, loss jurisdictions subject to valuation allowances cannot recognize a tax benefit with regard to their generated losses and are excluded from the annual effective tax rate calculation as their taxes will be recorded discretely in each quarter.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2026 estimated annual effective tax rate primarily reflects the 21% federal tax rate, the impact of state and local taxation, the impact of taxation upon foreign operations, and forecasted permanent differences. Our actual effective tax rates were 32.5% and 28.3% for the six months ended June 30, 2026 and 2025, respectively. </w:t>
      </w:r>
    </w:p>
    <w:p>
      <w:pPr>
        <w:pStyle w:val="TextBody"/>
        <w:bidi w:val="0"/>
        <w:spacing w:lineRule="auto" w:line="268" w:before="0" w:after="0"/>
        <w:jc w:val="left"/>
        <w:rPr/>
      </w:pPr>
      <w:r>
        <w:rPr>
          <w:rFonts w:ascii="Arial;sans-serif" w:hAnsi="Arial;sans-serif"/>
          <w:b w:val="false"/>
          <w:color w:val="000000"/>
          <w:sz w:val="20"/>
          <w:shd w:fill="FFFFFF" w:val="clear"/>
        </w:rPr>
        <w:t xml:space="preserve">The effective rate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was higher than the effective tax rate for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30, 2025,</w:t>
      </w:r>
      <w:r>
        <w:rPr>
          <w:color w:val="000000"/>
          <w:shd w:fill="FFFFFF" w:val="clear"/>
        </w:rPr>
        <w:t xml:space="preserve"> </w:t>
      </w:r>
      <w:r>
        <w:rPr>
          <w:rFonts w:ascii="Arial;sans-serif" w:hAnsi="Arial;sans-serif"/>
          <w:b w:val="false"/>
          <w:color w:val="000000"/>
          <w:sz w:val="20"/>
          <w:shd w:fill="FFFFFF" w:val="clear"/>
        </w:rPr>
        <w:t>primarily due to unfavorable discrete tax items recognized in the current year, partially offset by favorable discrete tax items in the current year.</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is subject to audit in the U.S. and various foreign jurisdictions. Our open tax years for major jurisdictions generally range from 2020-2025. We believe appropriate provisions for all outstanding tax issues have been made for all jurisdictions and all open years. Audit outcomes and the timing of audit settlements are subject to significant uncertainty.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8. Earnings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amounts used in computing earnings per share and the weighted average number of shares of potentially dilutive securities are as follows:</w:t>
      </w:r>
    </w:p>
    <w:tbl>
      <w:tblPr>
        <w:tblW w:w="10205" w:type="dxa"/>
        <w:jc w:val="left"/>
        <w:tblInd w:w="0" w:type="dxa"/>
        <w:tblLayout w:type="fixed"/>
        <w:tblCellMar>
          <w:top w:w="28" w:type="dxa"/>
          <w:left w:w="28" w:type="dxa"/>
          <w:bottom w:w="28" w:type="dxa"/>
          <w:right w:w="28" w:type="dxa"/>
        </w:tblCellMar>
      </w:tblPr>
      <w:tblGrid>
        <w:gridCol w:w="2083"/>
        <w:gridCol w:w="1759"/>
        <w:gridCol w:w="1765"/>
        <w:gridCol w:w="247"/>
        <w:gridCol w:w="865"/>
        <w:gridCol w:w="127"/>
        <w:gridCol w:w="247"/>
        <w:gridCol w:w="724"/>
        <w:gridCol w:w="127"/>
        <w:gridCol w:w="222"/>
        <w:gridCol w:w="774"/>
        <w:gridCol w:w="114"/>
        <w:gridCol w:w="222"/>
        <w:gridCol w:w="759"/>
        <w:gridCol w:w="170"/>
      </w:tblGrid>
      <w:tr>
        <w:trPr/>
        <w:tc>
          <w:tcPr>
            <w:tcW w:w="208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6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6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earnings per share)</w:t>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17,414</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32,695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number of shares: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basic net income per share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28,361</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28,341</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dilutive stock-based compensation plans: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stock units and multi-year awards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diluted net income per share</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28,588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28,568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60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the Company per share:</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0.61</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0.61</w:t>
            </w:r>
            <w:r>
              <w:rPr>
                <w:color w:val="000000"/>
              </w:rPr>
              <w:t>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w:t>
            </w:r>
            <w:r>
              <w:rPr>
                <w:color w:val="000000"/>
              </w:rPr>
              <w:t> </w:t>
            </w:r>
          </w:p>
        </w:tc>
        <w:tc>
          <w:tcPr>
            <w:tcW w:w="1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9. Accumulated Other Comprehensive Income ("AOCI")</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2025 to June 30, 2026:</w:t>
      </w:r>
    </w:p>
    <w:tbl>
      <w:tblPr>
        <w:tblW w:w="10205" w:type="dxa"/>
        <w:jc w:val="left"/>
        <w:tblInd w:w="0" w:type="dxa"/>
        <w:tblLayout w:type="fixed"/>
        <w:tblCellMar>
          <w:top w:w="28" w:type="dxa"/>
          <w:left w:w="28" w:type="dxa"/>
          <w:bottom w:w="28" w:type="dxa"/>
          <w:right w:w="28" w:type="dxa"/>
        </w:tblCellMar>
      </w:tblPr>
      <w:tblGrid>
        <w:gridCol w:w="1953"/>
        <w:gridCol w:w="1524"/>
        <w:gridCol w:w="1527"/>
        <w:gridCol w:w="211"/>
        <w:gridCol w:w="867"/>
        <w:gridCol w:w="109"/>
        <w:gridCol w:w="254"/>
        <w:gridCol w:w="889"/>
        <w:gridCol w:w="133"/>
        <w:gridCol w:w="265"/>
        <w:gridCol w:w="604"/>
        <w:gridCol w:w="137"/>
        <w:gridCol w:w="302"/>
        <w:gridCol w:w="1205"/>
        <w:gridCol w:w="225"/>
      </w:tblGrid>
      <w:tr>
        <w:trPr/>
        <w:tc>
          <w:tcPr>
            <w:tcW w:w="195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7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Accumulated Other</w:t>
              <w:br/>
              <w:t>Comprehensive</w:t>
              <w:br/>
              <w:t>Income/(Loss)</w:t>
            </w:r>
          </w:p>
        </w:tc>
      </w:tr>
      <w:tr>
        <w:trPr/>
        <w:tc>
          <w:tcPr>
            <w:tcW w:w="5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(143,538)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currency translation and other adjustments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Income/(Loss), net of tax</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Income/(Loss), net of tax</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income/(loss)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2026</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(121,743)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(23,065)</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w:t>
            </w: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(144,677)</w:t>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2024 to June 30, 2025:</w:t>
      </w:r>
    </w:p>
    <w:tbl>
      <w:tblPr>
        <w:tblW w:w="10205" w:type="dxa"/>
        <w:jc w:val="left"/>
        <w:tblInd w:w="0" w:type="dxa"/>
        <w:tblLayout w:type="fixed"/>
        <w:tblCellMar>
          <w:top w:w="28" w:type="dxa"/>
          <w:left w:w="28" w:type="dxa"/>
          <w:bottom w:w="28" w:type="dxa"/>
          <w:right w:w="28" w:type="dxa"/>
        </w:tblCellMar>
      </w:tblPr>
      <w:tblGrid>
        <w:gridCol w:w="1953"/>
        <w:gridCol w:w="1524"/>
        <w:gridCol w:w="1527"/>
        <w:gridCol w:w="211"/>
        <w:gridCol w:w="867"/>
        <w:gridCol w:w="109"/>
        <w:gridCol w:w="254"/>
        <w:gridCol w:w="889"/>
        <w:gridCol w:w="133"/>
        <w:gridCol w:w="265"/>
        <w:gridCol w:w="604"/>
        <w:gridCol w:w="137"/>
        <w:gridCol w:w="302"/>
        <w:gridCol w:w="1205"/>
        <w:gridCol w:w="225"/>
      </w:tblGrid>
      <w:tr>
        <w:trPr/>
        <w:tc>
          <w:tcPr>
            <w:tcW w:w="195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7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Accumulated Other</w:t>
              <w:br/>
              <w:t>Comprehensive</w:t>
              <w:br/>
              <w:t>Income/(Loss)</w:t>
            </w:r>
          </w:p>
        </w:tc>
      </w:tr>
      <w:tr>
        <w:trPr/>
        <w:tc>
          <w:tcPr>
            <w:tcW w:w="5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(195,989)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translation and other adjustments</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52,752 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settlement expense, net of tax</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Income/(Loss), net of tax</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Income/(Loss), net of tax</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income/(loss)</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(3,517)</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51,697 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(125,584)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(17,845)</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(863)</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(144,292)</w:t>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components of AOCI that are reclassified to the Consolidated Statements of Income/(Loss) relate to our pension and postretirement plans and interest rate swaps.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presents the expense/(income) amounts reclassified from AOCI, and the line items of the Consolidated Statements of Income/(Loss) that were affected for the three and six months ended June 30, 2026, and the Consolidated Statements of Income/(Loss)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2168"/>
        <w:gridCol w:w="1908"/>
        <w:gridCol w:w="1920"/>
        <w:gridCol w:w="247"/>
        <w:gridCol w:w="606"/>
        <w:gridCol w:w="127"/>
        <w:gridCol w:w="247"/>
        <w:gridCol w:w="782"/>
        <w:gridCol w:w="127"/>
        <w:gridCol w:w="233"/>
        <w:gridCol w:w="571"/>
        <w:gridCol w:w="120"/>
        <w:gridCol w:w="233"/>
        <w:gridCol w:w="738"/>
        <w:gridCol w:w="178"/>
      </w:tblGrid>
      <w:tr>
        <w:trPr/>
        <w:tc>
          <w:tcPr>
            <w:tcW w:w="216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0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9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Pre-tax Derivative valuation reclassified from Accumulated Other Comprehensive Income/(Loss):</w:t>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Interest (income)/expense, net related to interest rate swaps included in Income/(loss) before taxes</w:t>
            </w:r>
            <w:r>
              <w:rPr>
                <w:rFonts w:ascii="Arial;sans-serif" w:hAnsi="Arial;sans-serif"/>
                <w:b w:val="false"/>
                <w:color w:val="000000"/>
                <w:sz w:val="12"/>
              </w:rPr>
              <w:t>(a)</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(153)</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Income/(Loss)</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(154)</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Pre-tax pension and postretirement liabilities reclassified from Accumulated Other Comprehensive Income:</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Pension settlement/curtailment</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(78)</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366</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pre-tax amount reclassified</w:t>
            </w:r>
            <w:r>
              <w:rPr>
                <w:rFonts w:ascii="Arial;sans-serif" w:hAnsi="Arial;sans-serif"/>
                <w:b w:val="false"/>
                <w:color w:val="000000"/>
                <w:sz w:val="12"/>
              </w:rPr>
              <w:t>(b)</w:t>
            </w:r>
          </w:p>
        </w:tc>
        <w:tc>
          <w:tcPr>
            <w:tcW w:w="8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327</w:t>
            </w: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(2,931)</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656</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241</w:t>
            </w:r>
            <w:r>
              <w:rPr>
                <w:color w:val="000000"/>
              </w:rPr>
              <w:t>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466</w:t>
            </w:r>
            <w:r>
              <w:rPr>
                <w:color w:val="000000"/>
              </w:rPr>
              <w:t>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w:t>
            </w:r>
          </w:p>
        </w:tc>
        <w:tc>
          <w:tcPr>
            <w:tcW w:w="1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both"/>
        <w:rPr/>
      </w:pPr>
      <w:r>
        <w:rPr>
          <w:rFonts w:ascii="Arial;sans-serif" w:hAnsi="Arial;sans-serif"/>
          <w:b w:val="false"/>
          <w:color w:val="000000"/>
          <w:sz w:val="18"/>
        </w:rPr>
        <w:t>(a)</w:t>
      </w:r>
      <w:r>
        <w:rPr>
          <w:rFonts w:ascii="Arial;sans-serif" w:hAnsi="Arial;sans-serif"/>
          <w:b w:val="false"/>
          <w:color w:val="000000"/>
          <w:sz w:val="20"/>
        </w:rPr>
        <w:t xml:space="preserve">Reported as Interest expense, net in our Consolidated Statements of Income, are payments related to the interest rate swap agreements and amortization of swap buyouts (see Note 15, </w:t>
      </w:r>
      <w:r>
        <w:rPr>
          <w:rFonts w:ascii="Arial;sans-serif" w:hAnsi="Arial;sans-serif"/>
          <w:b w:val="false"/>
          <w:i/>
          <w:color w:val="000000"/>
          <w:sz w:val="20"/>
        </w:rPr>
        <w:t>Financial Instruments</w:t>
      </w:r>
      <w:r>
        <w:rPr>
          <w:rFonts w:ascii="Arial;sans-serif" w:hAnsi="Arial;sans-serif"/>
          <w:b w:val="false"/>
          <w:color w:val="000000"/>
          <w:sz w:val="20"/>
        </w:rPr>
        <w:t xml:space="preserve">, and Note 16, </w:t>
      </w:r>
      <w:r>
        <w:rPr>
          <w:rFonts w:ascii="Arial;sans-serif" w:hAnsi="Arial;sans-serif"/>
          <w:b w:val="false"/>
          <w:i/>
          <w:color w:val="000000"/>
          <w:sz w:val="20"/>
        </w:rPr>
        <w:t>Fair-Value Measurements</w:t>
      </w:r>
      <w:r>
        <w:rPr>
          <w:rFonts w:ascii="Arial;sans-serif" w:hAnsi="Arial;sans-serif"/>
          <w:b w:val="false"/>
          <w:color w:val="000000"/>
          <w:sz w:val="20"/>
        </w:rPr>
        <w:t>, of the Notes to the Consolidated Financial Statements).</w:t>
      </w:r>
    </w:p>
    <w:p>
      <w:pPr>
        <w:pStyle w:val="TextBody"/>
        <w:bidi w:val="0"/>
        <w:spacing w:lineRule="auto" w:line="288" w:before="200" w:after="283"/>
        <w:ind w:left="0" w:right="0" w:hanging="270"/>
        <w:jc w:val="both"/>
        <w:rPr/>
      </w:pPr>
      <w:r>
        <w:rPr>
          <w:rFonts w:ascii="Arial;sans-serif" w:hAnsi="Arial;sans-serif"/>
          <w:b w:val="false"/>
          <w:color w:val="000000"/>
          <w:sz w:val="20"/>
        </w:rPr>
        <w:t xml:space="preserve">(b)Reported as Other (income)/expense, net in our Consolidated Statements of Income, the accumulated other comprehensive income components are included in the computation of net periodic pension cost (see Note 4, </w:t>
      </w:r>
      <w:r>
        <w:rPr>
          <w:rFonts w:ascii="Arial;sans-serif" w:hAnsi="Arial;sans-serif"/>
          <w:b w:val="false"/>
          <w:i/>
          <w:color w:val="000000"/>
          <w:sz w:val="20"/>
        </w:rPr>
        <w:t>Pension, Postretirement, and Other Benefit Plans</w:t>
      </w:r>
      <w:r>
        <w:rPr>
          <w:rFonts w:ascii="Arial;sans-serif" w:hAnsi="Arial;sans-serif"/>
          <w:b w:val="false"/>
          <w:color w:val="000000"/>
          <w:sz w:val="20"/>
        </w:rPr>
        <w:t>, of the Notes to the Consolidated Financial Statements).</w:t>
      </w:r>
    </w:p>
    <w:p>
      <w:pPr>
        <w:pStyle w:val="TextBody"/>
        <w:bidi w:val="0"/>
        <w:spacing w:before="8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10. Noncontrolling Interest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Effective October 31, 2013, Safran S.A. (Safran) acquired a 10 percent equity interest in Albany Safran Composites, LLC ("ASC").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April 1, 2025, Heimbach sold its 85% controlling interest in Arcari to the minority shareholder and recorded a gain of $1.6 million included in Other (income) expense on the sale. In connection with the sale, the corresponding value of the noncontrolling interest was reduced to zero. The Company did not retain any ownership in Arcari as a result of the sale and accordingly there was no impact on operating results during the three and six months ended June 30,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presents a reconciliation of income attributable to the noncontrolling interest and noncontrolling equity in the Company’s subsidiaries:</w:t>
      </w:r>
    </w:p>
    <w:tbl>
      <w:tblPr>
        <w:tblW w:w="9087" w:type="dxa"/>
        <w:jc w:val="left"/>
        <w:tblInd w:w="0" w:type="dxa"/>
        <w:tblLayout w:type="fixed"/>
        <w:tblCellMar>
          <w:top w:w="28" w:type="dxa"/>
          <w:left w:w="28" w:type="dxa"/>
          <w:bottom w:w="28" w:type="dxa"/>
          <w:right w:w="28" w:type="dxa"/>
        </w:tblCellMar>
      </w:tblPr>
      <w:tblGrid>
        <w:gridCol w:w="2463"/>
        <w:gridCol w:w="2165"/>
        <w:gridCol w:w="2167"/>
        <w:gridCol w:w="214"/>
        <w:gridCol w:w="642"/>
        <w:gridCol w:w="275"/>
        <w:gridCol w:w="214"/>
        <w:gridCol w:w="626"/>
        <w:gridCol w:w="321"/>
      </w:tblGrid>
      <w:tr>
        <w:trPr/>
        <w:tc>
          <w:tcPr>
            <w:tcW w:w="2463"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ASC Noncontrolling Interest</w:t>
            </w:r>
          </w:p>
        </w:tc>
        <w:tc>
          <w:tcPr>
            <w:tcW w:w="229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Albany Safran Composites (ASC)</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5,442</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Return attributable to the Company's preferred holding</w:t>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859</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ASC available for common ownership</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4,583</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Ownership percentage of noncontrolling shareholder</w:t>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2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458</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 beginning of year</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5,893</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458</w:t>
            </w: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comprehensive income attributable to the noncontrolling interest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ASC Noncontrolling interest, end of interim period</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6,400</w:t>
            </w:r>
            <w:r>
              <w:rPr>
                <w:color w:val="000000"/>
              </w:rPr>
              <w:t>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Arcari Noncontrolling interest, end of interim period</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w:t>
            </w:r>
            <w:r>
              <w:rPr>
                <w:color w:val="000000"/>
              </w:rPr>
              <w:t>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Noncontrolling interest, end of interim period</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6,400</w:t>
            </w:r>
            <w:r>
              <w:rPr>
                <w:color w:val="000000"/>
              </w:rPr>
              <w:t>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11. Accounts Receivable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June 30, 2026 and December 31, 2025, Accounts receivable consisted of the following:</w:t>
      </w:r>
    </w:p>
    <w:tbl>
      <w:tblPr>
        <w:tblW w:w="5893" w:type="dxa"/>
        <w:jc w:val="left"/>
        <w:tblInd w:w="0" w:type="dxa"/>
        <w:tblLayout w:type="fixed"/>
        <w:tblCellMar>
          <w:top w:w="28" w:type="dxa"/>
          <w:left w:w="28" w:type="dxa"/>
          <w:bottom w:w="28" w:type="dxa"/>
          <w:right w:w="28" w:type="dxa"/>
        </w:tblCellMar>
      </w:tblPr>
      <w:tblGrid>
        <w:gridCol w:w="1122"/>
        <w:gridCol w:w="990"/>
        <w:gridCol w:w="992"/>
        <w:gridCol w:w="212"/>
        <w:gridCol w:w="848"/>
        <w:gridCol w:w="109"/>
        <w:gridCol w:w="287"/>
        <w:gridCol w:w="1124"/>
        <w:gridCol w:w="209"/>
      </w:tblGrid>
      <w:tr>
        <w:trPr/>
        <w:tc>
          <w:tcPr>
            <w:tcW w:w="11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accounts receivable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237,576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221,592 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promissory notes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17,844 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252,133</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235,084 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12. Contract Assets and Liabilities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Contract assets and Contract liabilities are reported on the Consolidated Balance Sheets in a net position on a contract-by-contract basis at the end of each reporting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and December 31, 2025, Contract assets and Contract liabilities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tbl>
      <w:tblPr>
        <w:tblW w:w="5877" w:type="dxa"/>
        <w:jc w:val="left"/>
        <w:tblInd w:w="0" w:type="dxa"/>
        <w:tblLayout w:type="fixed"/>
        <w:tblCellMar>
          <w:top w:w="28" w:type="dxa"/>
          <w:left w:w="28" w:type="dxa"/>
          <w:bottom w:w="28" w:type="dxa"/>
          <w:right w:w="28" w:type="dxa"/>
        </w:tblCellMar>
      </w:tblPr>
      <w:tblGrid>
        <w:gridCol w:w="1117"/>
        <w:gridCol w:w="985"/>
        <w:gridCol w:w="987"/>
        <w:gridCol w:w="233"/>
        <w:gridCol w:w="816"/>
        <w:gridCol w:w="120"/>
        <w:gridCol w:w="314"/>
        <w:gridCol w:w="1076"/>
        <w:gridCol w:w="229"/>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77,758</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87,573 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77,287</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87,102 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36,585</w:t>
            </w:r>
            <w:r>
              <w:rPr>
                <w:color w:val="000000"/>
              </w:rPr>
              <w:t>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33,397 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Arial;sans-serif" w:hAnsi="Arial;sans-serif"/>
          <w:b w:val="false"/>
          <w:color w:val="000000"/>
          <w:sz w:val="20"/>
        </w:rPr>
      </w:pPr>
      <w:r>
        <w:rPr>
          <w:rFonts w:ascii="Arial;sans-serif" w:hAnsi="Arial;sans-serif"/>
          <w:b w:val="false"/>
          <w:color w:val="000000"/>
          <w:sz w:val="20"/>
        </w:rPr>
        <w:t>Contract assets, net decreased $9.8 million during the six months ended June 30, 2026, primarily due to a decrease in unbilled revenue related to commercial and defense programs. There were no impairment losses related to our Contract assets during the six months ended June 30, 2026 and June 30,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Contract liabilities increased $3.2 million for the period ended June 30, 2026 compared to December 31, 2025, primarily due to amounts invoiced to customers for contracts that were in a contract liability position exceeding the revenue recognition from satisfied performance obligations. Revenue recognized for the six months ended June 30, 2026 and 2025 that was included in the Contract liability balance at the beginning of the year was $20.8 million and $4.8 million, respectively.</w:t>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13. Inventories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and December 31, 2025, Inventories consisted of the following:</w:t>
      </w:r>
    </w:p>
    <w:tbl>
      <w:tblPr>
        <w:tblW w:w="4258" w:type="dxa"/>
        <w:jc w:val="left"/>
        <w:tblInd w:w="0" w:type="dxa"/>
        <w:tblLayout w:type="fixed"/>
        <w:tblCellMar>
          <w:top w:w="28" w:type="dxa"/>
          <w:left w:w="28" w:type="dxa"/>
          <w:bottom w:w="28" w:type="dxa"/>
          <w:right w:w="28" w:type="dxa"/>
        </w:tblCellMar>
      </w:tblPr>
      <w:tblGrid>
        <w:gridCol w:w="531"/>
        <w:gridCol w:w="468"/>
        <w:gridCol w:w="470"/>
        <w:gridCol w:w="212"/>
        <w:gridCol w:w="848"/>
        <w:gridCol w:w="109"/>
        <w:gridCol w:w="287"/>
        <w:gridCol w:w="1124"/>
        <w:gridCol w:w="20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60,311 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Work in process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57,326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46,952 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inventories</w:t>
            </w:r>
          </w:p>
        </w:tc>
        <w:tc>
          <w:tcPr>
            <w:tcW w:w="2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146,158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121,589 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14. Goodwill and Other Intangible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the gross carrying value, accumulated amortization and net values of intangible assets and goodwill as of June 30, 2026 and December 31, 2025:</w:t>
      </w:r>
    </w:p>
    <w:tbl>
      <w:tblPr>
        <w:tblW w:w="10205" w:type="dxa"/>
        <w:jc w:val="left"/>
        <w:tblInd w:w="0" w:type="dxa"/>
        <w:tblLayout w:type="fixed"/>
        <w:tblCellMar>
          <w:top w:w="28" w:type="dxa"/>
          <w:left w:w="28" w:type="dxa"/>
          <w:bottom w:w="28" w:type="dxa"/>
          <w:right w:w="28" w:type="dxa"/>
        </w:tblCellMar>
      </w:tblPr>
      <w:tblGrid>
        <w:gridCol w:w="1056"/>
        <w:gridCol w:w="840"/>
        <w:gridCol w:w="841"/>
        <w:gridCol w:w="395"/>
        <w:gridCol w:w="395"/>
        <w:gridCol w:w="396"/>
        <w:gridCol w:w="325"/>
        <w:gridCol w:w="1300"/>
        <w:gridCol w:w="168"/>
        <w:gridCol w:w="558"/>
        <w:gridCol w:w="1950"/>
        <w:gridCol w:w="290"/>
        <w:gridCol w:w="293"/>
        <w:gridCol w:w="1175"/>
        <w:gridCol w:w="223"/>
      </w:tblGrid>
      <w:tr>
        <w:trPr/>
        <w:tc>
          <w:tcPr>
            <w:tcW w:w="10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 and other</w:t>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2798"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6-15</w:t>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0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(208)</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10-15</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6,356</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(4,311)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2,045</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15</w:t>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1,250</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(548)</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702</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8-15</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69,465</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(64,753)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4,712</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9</w:t>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8,751</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(2,815)</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5,936</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86,030</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(72,635)</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13,395</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0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6,272</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5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6,272</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68,482</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68,482</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113,899</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(21,829)</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92,070</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188,653</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(21,829)</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166,824</w:t>
            </w:r>
            <w:r>
              <w:rPr>
                <w:color w:val="000000"/>
              </w:rPr>
              <w:t>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tbl>
      <w:tblPr>
        <w:tblW w:w="10205" w:type="dxa"/>
        <w:jc w:val="left"/>
        <w:tblInd w:w="0" w:type="dxa"/>
        <w:tblLayout w:type="fixed"/>
        <w:tblCellMar>
          <w:top w:w="28" w:type="dxa"/>
          <w:left w:w="28" w:type="dxa"/>
          <w:bottom w:w="28" w:type="dxa"/>
          <w:right w:w="28" w:type="dxa"/>
        </w:tblCellMar>
      </w:tblPr>
      <w:tblGrid>
        <w:gridCol w:w="1056"/>
        <w:gridCol w:w="840"/>
        <w:gridCol w:w="841"/>
        <w:gridCol w:w="395"/>
        <w:gridCol w:w="395"/>
        <w:gridCol w:w="396"/>
        <w:gridCol w:w="329"/>
        <w:gridCol w:w="1293"/>
        <w:gridCol w:w="171"/>
        <w:gridCol w:w="557"/>
        <w:gridCol w:w="1950"/>
        <w:gridCol w:w="290"/>
        <w:gridCol w:w="297"/>
        <w:gridCol w:w="1168"/>
        <w:gridCol w:w="227"/>
      </w:tblGrid>
      <w:tr>
        <w:trPr/>
        <w:tc>
          <w:tcPr>
            <w:tcW w:w="10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 and other</w:t>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279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(64,331)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(71,867)</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5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6,456 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69,911 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114,428 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(21,832)</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92,596 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190,795 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(21,832)</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168,963 </w:t>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and December 31, 2025, $13.4 million of finite-lived assets and $21.8 million of AEC goodwill related to the Amelia Earhart Drive facility were reclassified to held for sale.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changes in intangible assets, net and goodwill from December 31, 2025 to June 30, 2026, were as follows:</w:t>
      </w:r>
    </w:p>
    <w:tbl>
      <w:tblPr>
        <w:tblW w:w="7988" w:type="dxa"/>
        <w:jc w:val="left"/>
        <w:tblInd w:w="0" w:type="dxa"/>
        <w:tblLayout w:type="fixed"/>
        <w:tblCellMar>
          <w:top w:w="28" w:type="dxa"/>
          <w:left w:w="28" w:type="dxa"/>
          <w:bottom w:w="28" w:type="dxa"/>
          <w:right w:w="28" w:type="dxa"/>
        </w:tblCellMar>
      </w:tblPr>
      <w:tblGrid>
        <w:gridCol w:w="1062"/>
        <w:gridCol w:w="937"/>
        <w:gridCol w:w="940"/>
        <w:gridCol w:w="290"/>
        <w:gridCol w:w="1135"/>
        <w:gridCol w:w="149"/>
        <w:gridCol w:w="109"/>
        <w:gridCol w:w="253"/>
        <w:gridCol w:w="757"/>
        <w:gridCol w:w="131"/>
        <w:gridCol w:w="211"/>
        <w:gridCol w:w="691"/>
        <w:gridCol w:w="109"/>
        <w:gridCol w:w="212"/>
        <w:gridCol w:w="847"/>
        <w:gridCol w:w="155"/>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intangible assets: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702</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4,712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5,936</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13,395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6,272</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68,482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92,596 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92,070</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assets:</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168,963 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166,824</w:t>
            </w:r>
            <w:r>
              <w:rPr>
                <w:color w:val="000000"/>
              </w:rPr>
              <w:t>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15. Financial Instruments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represents the Company's outstanding debt:</w:t>
      </w:r>
    </w:p>
    <w:tbl>
      <w:tblPr>
        <w:tblW w:w="7097" w:type="dxa"/>
        <w:jc w:val="left"/>
        <w:tblInd w:w="0" w:type="dxa"/>
        <w:tblLayout w:type="fixed"/>
        <w:tblCellMar>
          <w:top w:w="28" w:type="dxa"/>
          <w:left w:w="28" w:type="dxa"/>
          <w:bottom w:w="28" w:type="dxa"/>
          <w:right w:w="28" w:type="dxa"/>
        </w:tblCellMar>
      </w:tblPr>
      <w:tblGrid>
        <w:gridCol w:w="124"/>
        <w:gridCol w:w="1393"/>
        <w:gridCol w:w="1393"/>
        <w:gridCol w:w="1398"/>
        <w:gridCol w:w="212"/>
        <w:gridCol w:w="848"/>
        <w:gridCol w:w="109"/>
        <w:gridCol w:w="287"/>
        <w:gridCol w:w="1124"/>
        <w:gridCol w:w="209"/>
      </w:tblGrid>
      <w:tr>
        <w:trPr/>
        <w:tc>
          <w:tcPr>
            <w:tcW w:w="12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interest rates)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under the Amended Credit Agreement</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USD borrowings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348,000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 borrowings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102,669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105,663 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bank debt</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450,669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455,663 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maturities of long-term debt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450,669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455,663 </w:t>
            </w:r>
          </w:p>
        </w:tc>
        <w:tc>
          <w:tcPr>
            <w:tcW w:w="2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84" w:type="dxa"/>
            <w:gridSpan w:val="3"/>
            <w:tcBorders/>
            <w:vAlign w:val="center"/>
          </w:tcPr>
          <w:p>
            <w:pPr>
              <w:pStyle w:val="TableContents"/>
              <w:bidi w:val="0"/>
              <w:spacing w:before="0" w:after="283"/>
              <w:jc w:val="left"/>
              <w:rPr>
                <w:sz w:val="4"/>
                <w:szCs w:val="4"/>
              </w:rPr>
            </w:pPr>
            <w:r>
              <w:rPr>
                <w:sz w:val="4"/>
                <w:szCs w:val="4"/>
              </w:rPr>
            </w:r>
          </w:p>
        </w:tc>
        <w:tc>
          <w:tcPr>
            <w:tcW w:w="2789"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before="120" w:after="283"/>
        <w:jc w:val="both"/>
        <w:rPr/>
      </w:pPr>
      <w:r>
        <w:rPr/>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Amended Credit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August 16, 2023, we entered into a $800 million unsecured committed Five-Year Revolving Credit Facility Agreement, amended on June 28, 2024 (collectively, the “Amended Credit Agreement”), which matures in August of 2028.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applicable interest rate for borrowings under the Amended Credit Agreement is based on both Term SOFR and EURIBOR plus a spread, which is based on our leverage ratio (as defined in the Amended Credit Agreement) at the time of a borrowing as follows:</w:t>
      </w:r>
    </w:p>
    <w:tbl>
      <w:tblPr>
        <w:tblW w:w="6913" w:type="dxa"/>
        <w:jc w:val="left"/>
        <w:tblInd w:w="0" w:type="dxa"/>
        <w:tblLayout w:type="fixed"/>
        <w:tblCellMar>
          <w:top w:w="28" w:type="dxa"/>
          <w:left w:w="28" w:type="dxa"/>
          <w:bottom w:w="28" w:type="dxa"/>
          <w:right w:w="28" w:type="dxa"/>
        </w:tblCellMar>
      </w:tblPr>
      <w:tblGrid>
        <w:gridCol w:w="868"/>
        <w:gridCol w:w="765"/>
        <w:gridCol w:w="767"/>
        <w:gridCol w:w="489"/>
        <w:gridCol w:w="489"/>
        <w:gridCol w:w="491"/>
        <w:gridCol w:w="354"/>
        <w:gridCol w:w="354"/>
        <w:gridCol w:w="356"/>
        <w:gridCol w:w="580"/>
        <w:gridCol w:w="580"/>
        <w:gridCol w:w="820"/>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Leverage Ratio</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Commitment Fee</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ABR Spread</w:t>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Benchmark/ Daily</w:t>
              <w:br/>
              <w:t>Simple SOFR Spread</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&lt;1.00:1.00</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0.275%</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0.500%</w:t>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18"/>
              </w:rPr>
              <w:t>1.00:1.00 and &lt; 2.00:1.00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0.300%</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0.625%</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18"/>
              </w:rPr>
              <w:t>2.00:1.00 and &lt; 3.00:1.00</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0.325%</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0.750%</w:t>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1.750%</w:t>
            </w:r>
          </w:p>
        </w:tc>
      </w:tr>
      <w:tr>
        <w:trPr/>
        <w:tc>
          <w:tcPr>
            <w:tcW w:w="2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18"/>
              </w:rPr>
              <w:t>3.00:1.00</w:t>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0.350%</w:t>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w:t>
            </w:r>
          </w:p>
        </w:tc>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June 30, 2026, the applicable interest rate for borrowings under the Amended Credit Agreement was based on one-month term SOFR and one-month EURIBOR plus the spread, which was 1.625%.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there was $450.7 million of borrowings outstanding under the Amended Credit Agreement and we had borrowings available of $349.3 million, based on our maximum leverage ratio and our Consolidated EBITDA (as defined in the Amended Credit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June 30, 2026 and December 31, 2025, the USD interest rate in effect was 5.48% and 5.56%, respectively, including the effect of interest rate swaps; at the end of June 30, 2026 and December 31, 2025, the EUR interest rate in effect was 3.83% and 3.73%, respectively, including the effect of interest rate swaps.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 If our leverage ratio exceeds 3.50 to 1.00, we will be restricted in paying dividends to a maximum amount of $40 million in a calendar year</w:t>
      </w:r>
    </w:p>
    <w:p>
      <w:pPr>
        <w:pStyle w:val="TextBody"/>
        <w:bidi w:val="0"/>
        <w:spacing w:lineRule="auto" w:line="288" w:before="120" w:after="283"/>
        <w:jc w:val="both"/>
        <w:rPr/>
      </w:pPr>
      <w:r>
        <w:rPr>
          <w:rFonts w:ascii="Arial;sans-serif" w:hAnsi="Arial;sans-serif"/>
          <w:b w:val="false"/>
          <w:color w:val="000000"/>
          <w:sz w:val="20"/>
        </w:rPr>
        <w:t>As of June 30, 2026, our leverage ratio wa</w:t>
      </w:r>
      <w:r>
        <w:rPr>
          <w:rFonts w:ascii="Arial;sans-serif" w:hAnsi="Arial;sans-serif"/>
          <w:b w:val="false"/>
          <w:color w:val="000000"/>
          <w:sz w:val="20"/>
          <w:shd w:fill="FFFFFF" w:val="clear"/>
        </w:rPr>
        <w:t>s</w:t>
      </w:r>
      <w:r>
        <w:rPr>
          <w:color w:val="000000"/>
        </w:rPr>
        <w:t xml:space="preserve"> </w:t>
      </w:r>
      <w:r>
        <w:rPr>
          <w:rFonts w:ascii="Arial;sans-serif" w:hAnsi="Arial;sans-serif"/>
          <w:b w:val="false"/>
          <w:color w:val="000000"/>
          <w:sz w:val="20"/>
        </w:rPr>
        <w:t>1.71 to 1.00 and our interest coverage ratio was 8.07</w:t>
      </w:r>
      <w:r>
        <w:rPr>
          <w:color w:val="000000"/>
          <w:shd w:fill="FFFFFF" w:val="clear"/>
        </w:rPr>
        <w:t xml:space="preserve"> </w:t>
      </w:r>
      <w:r>
        <w:rPr>
          <w:rFonts w:ascii="Arial;sans-serif" w:hAnsi="Arial;sans-serif"/>
          <w:b w:val="false"/>
          <w:color w:val="000000"/>
          <w:sz w:val="20"/>
        </w:rPr>
        <w:t>to 1.00. As of June 30, 2026, we were in compliance with all applicable covenants. We anticipate continued compliance in each of the next four quarters while continuing to monitor future compliance based on current and future economic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Interest Rate Swaps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the Company enters into interest rate swap contracts to manage the interest rate risk associated with its outstanding variable-interest rate borrowings. Such contracts are intended to economically hedge the reference rate component of future interest payments associated with outstanding borrowings under the Company’s Amended Credit Agreement.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April 15, 2026, the Company entered into a USD and a EUR forward starting interest rate swap agreement with starting dates of November 15, 2026 and November 14, 2026, respectively. These instruments are intended to replace the Company's existing interest rate swap agreements upon their maturity on those same dates and are entered into for the purpose of managing the Company's exposure to variability in cash flows attributable to changes in benchmark interest rates. Changes in fair value during the forward period, from the trade date through the respective starting dates, will be recorded in other comprehensive income (loss).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USD forward starting interest rate swap agreement has a three-year tenor and matures on November 15, 2029. The swap has the effect of fixing the SOFR portion of the interest rate on $80 million of USD indebtedness drawn under the Amended Credit Facility. Under this interest rate swap agreement, the Company pays a fixed rate of 3.516% and the counterparty pays a floating rate based on the one-month term SOFR rate, reset monthly. The EUR forward starting interest rate swap agreement has a three-year tenor and matures on November 14, 2029. The swap has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effect of fixing the EURIBOR portion of the interest rate on €25 million of EUR indebtedness drawn under the Amended Credit Facility. Under this agreement, the Company pays a fixed rate of 2.602% and the counterparty pays a floating rate based on the one-month EURIBOR rate, reset monthly.</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In November, 2024, we entered into two interest rate swap agreements: A USD interest rate swap agreement and a EUR interest rate swap agreement. The USD interest rate swap agreement covers the period November 15, 2024 through November 15, 2026. This transaction has the effect of fixing the SOFR portion of the interest rate (before the credit spread) on $125 million of the US indebtedness drawn under the Amended Credit Facility. Under the terms of this transaction, the Company pays a fixed rate of 3.987% and our counterparty pays a floating rate based on the one-month SOFR rate at each monthly calculation date. The EUR interest rate swap agreement covers the period November 14, 2024 through November 15, 2026. This transaction has the effect of fixing the EURIBOR portion of the interest rate (before the credit spread) on EUR 45 million of the EUR indebtedness drawn under the Amended Credit Facility. Under the terms of this transaction, the Company pays a fixed rate of 2.277% and our counterparty pays a floating rate based on the one-month EURIBOR rate at each monthly calculation date.</w:t>
      </w:r>
    </w:p>
    <w:p>
      <w:pPr>
        <w:pStyle w:val="TextBody"/>
        <w:bidi w:val="0"/>
        <w:spacing w:lineRule="auto" w:line="288" w:before="120" w:after="283"/>
        <w:jc w:val="both"/>
        <w:rPr/>
      </w:pPr>
      <w:r>
        <w:rPr>
          <w:rFonts w:ascii="Arial;sans-serif" w:hAnsi="Arial;sans-serif"/>
          <w:b w:val="false"/>
          <w:color w:val="000000"/>
          <w:sz w:val="20"/>
        </w:rPr>
        <w:t xml:space="preserve">These interest rate swaps are accounted for as a hedge of future cash flows, as further described in </w:t>
      </w:r>
      <w:r>
        <w:rPr>
          <w:rFonts w:ascii="Arial;sans-serif" w:hAnsi="Arial;sans-serif"/>
          <w:b w:val="false"/>
          <w:i/>
          <w:color w:val="000000"/>
          <w:sz w:val="20"/>
        </w:rPr>
        <w:t>Note 16, Fair-Value Measurements</w:t>
      </w:r>
      <w:r>
        <w:rPr>
          <w:rFonts w:ascii="Arial;sans-serif" w:hAnsi="Arial;sans-serif"/>
          <w:b w:val="false"/>
          <w:color w:val="000000"/>
          <w:sz w:val="20"/>
        </w:rPr>
        <w:t>. No cash collateral was received or pledged in relation to the swap agreements.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16. Fair-Value Measurements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 Observable inputs other than quoted prices included in Level 1, such as quoted prices in markets that are not active or other inputs that are observable or can be corroborated by observable market data.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had no Level 3 financial assets or liabilities at June 30, 2026 or at December 31, 2025, other than certain pension assets as indicated in our December 31, 2025 Annual Report on Form 10-K.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Debt is carried at cost, which approximates fair value.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the fair-value hierarchy for our Level 1 and Level 2 financial and non-financial assets and liabilities, which are measured at fair value on a recurring basis:</w:t>
      </w:r>
    </w:p>
    <w:tbl>
      <w:tblPr>
        <w:tblW w:w="9770" w:type="dxa"/>
        <w:jc w:val="left"/>
        <w:tblInd w:w="0" w:type="dxa"/>
        <w:tblLayout w:type="fixed"/>
        <w:tblCellMar>
          <w:top w:w="28" w:type="dxa"/>
          <w:left w:w="28" w:type="dxa"/>
          <w:bottom w:w="28" w:type="dxa"/>
          <w:right w:w="28" w:type="dxa"/>
        </w:tblCellMar>
      </w:tblPr>
      <w:tblGrid>
        <w:gridCol w:w="1697"/>
        <w:gridCol w:w="1496"/>
        <w:gridCol w:w="1502"/>
        <w:gridCol w:w="211"/>
        <w:gridCol w:w="736"/>
        <w:gridCol w:w="109"/>
        <w:gridCol w:w="109"/>
        <w:gridCol w:w="109"/>
        <w:gridCol w:w="109"/>
        <w:gridCol w:w="283"/>
        <w:gridCol w:w="545"/>
        <w:gridCol w:w="148"/>
        <w:gridCol w:w="109"/>
        <w:gridCol w:w="109"/>
        <w:gridCol w:w="109"/>
        <w:gridCol w:w="211"/>
        <w:gridCol w:w="721"/>
        <w:gridCol w:w="109"/>
        <w:gridCol w:w="109"/>
        <w:gridCol w:w="109"/>
        <w:gridCol w:w="109"/>
        <w:gridCol w:w="279"/>
        <w:gridCol w:w="537"/>
        <w:gridCol w:w="205"/>
      </w:tblGrid>
      <w:tr>
        <w:trPr/>
        <w:tc>
          <w:tcPr>
            <w:tcW w:w="169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w:t>
              <w:br/>
              <w:t>prices in</w:t>
              <w:br/>
              <w:t>active</w:t>
              <w:b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w:t>
              <w:br/>
              <w:t>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r>
      <w:tr>
        <w:trPr/>
        <w:tc>
          <w:tcPr>
            <w:tcW w:w="4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Other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of unaffiliated foreign public company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option contracts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340</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(a)Original cost basis $0.5 million.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equivalents include short-term securities that are considered to be highly liquid and easily tradable. These securities are valued using inputs observable in active markets for identical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4dbd90247bd4fc9b423fff1380bd4ce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Unrealized gains and losses on the interest rate swaps are recorded as a component of Derivative valuation adjustment in the Shareholders’ equity section of the Consolidated Balance Sheets. As of June 30, 2026, these interest rate swaps were determined to be highly effective hedges of interest rate cashflow risk. Amounts accumulated in Other comprehensive income are reclassified as interest expense/(income), net when the related interest payments (that is, the hedged forecasted transactions), affect earnings. Interest expense/(income) related to payments under the active swap agreements totaled $(0.3) million for the six months ended June 30, 2026 and $(0.3) million for the six months ended June 30, 2025.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operate our business in many regions of the world, and currency rate movements can have a significant effect on operating results. From time to time, we enter into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Accrued liabilities, as applicable. Changes in fair value of these instruments are recorded as gains or losses within Other (income)/expense, net.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(Gains)/losses related to changes in fair value of derivative instruments that were recognized in Other (income)/expense, net in the Consolidated Statements of Income were as follows: </w:t>
      </w:r>
    </w:p>
    <w:tbl>
      <w:tblPr>
        <w:tblW w:w="9042" w:type="dxa"/>
        <w:jc w:val="left"/>
        <w:tblInd w:w="0" w:type="dxa"/>
        <w:tblLayout w:type="fixed"/>
        <w:tblCellMar>
          <w:top w:w="28" w:type="dxa"/>
          <w:left w:w="28" w:type="dxa"/>
          <w:bottom w:w="28" w:type="dxa"/>
          <w:right w:w="28" w:type="dxa"/>
        </w:tblCellMar>
      </w:tblPr>
      <w:tblGrid>
        <w:gridCol w:w="1551"/>
        <w:gridCol w:w="1368"/>
        <w:gridCol w:w="1371"/>
        <w:gridCol w:w="321"/>
        <w:gridCol w:w="663"/>
        <w:gridCol w:w="165"/>
        <w:gridCol w:w="321"/>
        <w:gridCol w:w="823"/>
        <w:gridCol w:w="165"/>
        <w:gridCol w:w="234"/>
        <w:gridCol w:w="767"/>
        <w:gridCol w:w="121"/>
        <w:gridCol w:w="234"/>
        <w:gridCol w:w="767"/>
        <w:gridCol w:w="171"/>
      </w:tblGrid>
      <w:tr>
        <w:trPr/>
        <w:tc>
          <w:tcPr>
            <w:tcW w:w="15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options (gains)/losses</w:t>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(91)</w:t>
            </w:r>
          </w:p>
        </w:tc>
        <w:tc>
          <w:tcPr>
            <w:tcW w:w="1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w:t>
            </w:r>
          </w:p>
        </w:tc>
        <w:tc>
          <w:tcPr>
            <w:tcW w:w="1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(1,174)</w:t>
            </w:r>
          </w:p>
        </w:tc>
        <w:tc>
          <w:tcPr>
            <w:tcW w:w="1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(3,261)</w:t>
            </w:r>
          </w:p>
        </w:tc>
        <w:tc>
          <w:tcPr>
            <w:tcW w:w="1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17. Contingencies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Asbestos Litigation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were defending 3,660 claims as of June 30, 2026.</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sets forth the number of claims filed, the number of claims settled, dismissed or otherwise resolved, and the aggregate settlement amount during the periods presented:</w:t>
      </w:r>
    </w:p>
    <w:tbl>
      <w:tblPr>
        <w:tblW w:w="8978" w:type="dxa"/>
        <w:jc w:val="left"/>
        <w:tblInd w:w="0" w:type="dxa"/>
        <w:tblLayout w:type="fixed"/>
        <w:tblCellMar>
          <w:top w:w="28" w:type="dxa"/>
          <w:left w:w="28" w:type="dxa"/>
          <w:bottom w:w="28" w:type="dxa"/>
          <w:right w:w="28" w:type="dxa"/>
        </w:tblCellMar>
      </w:tblPr>
      <w:tblGrid>
        <w:gridCol w:w="1299"/>
        <w:gridCol w:w="1141"/>
        <w:gridCol w:w="1144"/>
        <w:gridCol w:w="321"/>
        <w:gridCol w:w="314"/>
        <w:gridCol w:w="316"/>
        <w:gridCol w:w="324"/>
        <w:gridCol w:w="324"/>
        <w:gridCol w:w="326"/>
        <w:gridCol w:w="344"/>
        <w:gridCol w:w="344"/>
        <w:gridCol w:w="346"/>
        <w:gridCol w:w="321"/>
        <w:gridCol w:w="314"/>
        <w:gridCol w:w="316"/>
        <w:gridCol w:w="375"/>
        <w:gridCol w:w="831"/>
        <w:gridCol w:w="278"/>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number of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Opening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Dismissed,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Settled, or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Resolved</w:t>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New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Closing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Paid to</w:t>
              <w:br/>
              <w:t>Settle or</w:t>
              <w:br/>
              <w:t>Resolve</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Twelve months ended December 31, 2025</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2026</w:t>
            </w:r>
          </w:p>
        </w:tc>
        <w:tc>
          <w:tcPr>
            <w:tcW w:w="63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3,677</w:t>
            </w:r>
            <w:r>
              <w:rPr>
                <w:color w:val="000000"/>
              </w:rPr>
              <w:t>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w:t>
            </w:r>
            <w:r>
              <w:rPr>
                <w:color w:val="000000"/>
              </w:rPr>
              <w:t> </w:t>
            </w:r>
          </w:p>
        </w:tc>
        <w:tc>
          <w:tcPr>
            <w:tcW w:w="3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w:t>
            </w:r>
            <w:r>
              <w:rPr>
                <w:color w:val="000000"/>
              </w:rPr>
              <w:t> </w:t>
            </w:r>
          </w:p>
        </w:tc>
        <w:tc>
          <w:tcPr>
            <w:tcW w:w="3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3,660</w:t>
            </w:r>
            <w:r>
              <w:rPr>
                <w:color w:val="000000"/>
              </w:rPr>
              <w:t>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2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While we believe we have meritorious defenses to these claims, we have settled certain claims for amounts we consider reasonable given the facts and circumstances of each case. Our insurance carrier has defended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case and funded settlements under a standard reservation of rights. As of June 30, 2026, we had resolved, by means of settlement or dismissal, 38,116 claims at a total cost of $10.9 million. Of this amount, almost 100% was paid by our insurance carrier, who has confirmed that we have approximately $140 million of remaining coverage under primary and excess policies that should be available with respect to current and future asbestos claims.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subsidiary, Brandon Drying Fabrics, Inc. (“Brandon”), is also a separate defendant in many of the asbestos cases in which Albany is named as a defendant, despite never having manufactured any fabrics containing asbestos. While Brandon was defending against 7,675 claims as of June 30, 2026,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18. Changes in Shareholders’ Equity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changes in Shareholders’ Equity for the three and six month periods ended June 30, 2026:</w:t>
      </w:r>
    </w:p>
    <w:p>
      <w:pPr>
        <w:pStyle w:val="TextBody"/>
        <w:bidi w:val="0"/>
        <w:spacing w:before="120" w:after="283"/>
        <w:jc w:val="left"/>
        <w:rPr/>
      </w:pPr>
      <w:r>
        <w:rPr/>
      </w:r>
    </w:p>
    <w:tbl>
      <w:tblPr>
        <w:tblW w:w="10550" w:type="dxa"/>
        <w:jc w:val="left"/>
        <w:tblInd w:w="0" w:type="dxa"/>
        <w:tblLayout w:type="fixed"/>
        <w:tblCellMar>
          <w:top w:w="28" w:type="dxa"/>
          <w:left w:w="28" w:type="dxa"/>
          <w:bottom w:w="28" w:type="dxa"/>
          <w:right w:w="28" w:type="dxa"/>
        </w:tblCellMar>
      </w:tblPr>
      <w:tblGrid>
        <w:gridCol w:w="360"/>
        <w:gridCol w:w="290"/>
        <w:gridCol w:w="206"/>
        <w:gridCol w:w="248"/>
        <w:gridCol w:w="248"/>
        <w:gridCol w:w="157"/>
        <w:gridCol w:w="203"/>
        <w:gridCol w:w="203"/>
        <w:gridCol w:w="191"/>
        <w:gridCol w:w="109"/>
        <w:gridCol w:w="1501"/>
        <w:gridCol w:w="278"/>
        <w:gridCol w:w="278"/>
        <w:gridCol w:w="211"/>
        <w:gridCol w:w="425"/>
        <w:gridCol w:w="425"/>
        <w:gridCol w:w="426"/>
        <w:gridCol w:w="270"/>
        <w:gridCol w:w="271"/>
        <w:gridCol w:w="109"/>
        <w:gridCol w:w="248"/>
        <w:gridCol w:w="248"/>
        <w:gridCol w:w="161"/>
        <w:gridCol w:w="470"/>
        <w:gridCol w:w="470"/>
        <w:gridCol w:w="471"/>
        <w:gridCol w:w="420"/>
        <w:gridCol w:w="420"/>
        <w:gridCol w:w="421"/>
        <w:gridCol w:w="278"/>
        <w:gridCol w:w="278"/>
        <w:gridCol w:w="256"/>
      </w:tblGrid>
      <w:tr>
        <w:trPr/>
        <w:tc>
          <w:tcPr>
            <w:tcW w:w="3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w:t>
              <w:b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76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Retained </w:t>
              <w:br/>
              <w:t>earnings</w:t>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3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w:t>
              <w:b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Shareholders' Equity</w:t>
            </w:r>
          </w:p>
        </w:tc>
        <w:tc>
          <w:tcPr>
            <w:tcW w:w="812"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6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2026</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41,041 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460,629 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983,704 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(567,139)</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6,014 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735,415 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17,414 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17,704 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incentive compensation plans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Taxes paid in lieu of share issuance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issued to Directors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 of Treasury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 repurchase excise tax adjustment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$0.28 per share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(7,944)</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paid to noncontrolling interests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 and other</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2026</w:t>
            </w:r>
          </w:p>
        </w:tc>
        <w:tc>
          <w:tcPr>
            <w:tcW w:w="4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41,057</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464,148</w:t>
            </w: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993,170</w:t>
            </w:r>
            <w:r>
              <w:rPr>
                <w:color w:val="000000"/>
              </w:rPr>
              <w:t> </w:t>
            </w:r>
          </w:p>
        </w:tc>
        <w:tc>
          <w:tcPr>
            <w:tcW w:w="4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(144,677)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12,686</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(566,993)</w:t>
            </w:r>
          </w:p>
        </w:tc>
        <w:tc>
          <w:tcPr>
            <w:tcW w:w="4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6,400</w:t>
            </w:r>
            <w:r>
              <w:rPr>
                <w:color w:val="000000"/>
              </w:rPr>
              <w:t> </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752,089</w:t>
            </w:r>
            <w:r>
              <w:rPr>
                <w:color w:val="000000"/>
              </w:rPr>
              <w:t>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822" w:type="dxa"/>
        <w:jc w:val="left"/>
        <w:tblInd w:w="0" w:type="dxa"/>
        <w:tblLayout w:type="fixed"/>
        <w:tblCellMar>
          <w:top w:w="28" w:type="dxa"/>
          <w:left w:w="28" w:type="dxa"/>
          <w:bottom w:w="28" w:type="dxa"/>
          <w:right w:w="28" w:type="dxa"/>
        </w:tblCellMar>
      </w:tblPr>
      <w:tblGrid>
        <w:gridCol w:w="425"/>
        <w:gridCol w:w="215"/>
        <w:gridCol w:w="216"/>
        <w:gridCol w:w="248"/>
        <w:gridCol w:w="248"/>
        <w:gridCol w:w="161"/>
        <w:gridCol w:w="176"/>
        <w:gridCol w:w="286"/>
        <w:gridCol w:w="109"/>
        <w:gridCol w:w="109"/>
        <w:gridCol w:w="1501"/>
        <w:gridCol w:w="166"/>
        <w:gridCol w:w="556"/>
        <w:gridCol w:w="109"/>
        <w:gridCol w:w="254"/>
        <w:gridCol w:w="853"/>
        <w:gridCol w:w="169"/>
        <w:gridCol w:w="166"/>
        <w:gridCol w:w="541"/>
        <w:gridCol w:w="109"/>
        <w:gridCol w:w="248"/>
        <w:gridCol w:w="248"/>
        <w:gridCol w:w="161"/>
        <w:gridCol w:w="287"/>
        <w:gridCol w:w="935"/>
        <w:gridCol w:w="189"/>
        <w:gridCol w:w="294"/>
        <w:gridCol w:w="773"/>
        <w:gridCol w:w="194"/>
        <w:gridCol w:w="166"/>
        <w:gridCol w:w="556"/>
        <w:gridCol w:w="154"/>
      </w:tblGrid>
      <w:tr>
        <w:trPr/>
        <w:tc>
          <w:tcPr>
            <w:tcW w:w="4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w:t>
              <w:b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Retained </w:t>
              <w:br/>
              <w:t>earnings</w:t>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w:t>
              <w:b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2025</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460,472 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976,373 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(567,139)</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5,893 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732,102 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32,695 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incentive compensation plans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Taxes paid in lieu of share issuance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issued to Directors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 repurchase excise tax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$0.56 per share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(15,883)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 and other</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2026</w:t>
            </w:r>
          </w:p>
        </w:tc>
        <w:tc>
          <w:tcPr>
            <w:tcW w:w="4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41,057</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464,148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993,170</w:t>
            </w: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(144,677)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12,686</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(566,993)</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6,400</w:t>
            </w:r>
            <w:r>
              <w:rPr>
                <w:color w:val="000000"/>
              </w:rPr>
              <w:t> </w:t>
            </w:r>
          </w:p>
        </w:tc>
        <w:tc>
          <w:tcPr>
            <w:tcW w:w="1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752,089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20" w:after="283"/>
        <w:jc w:val="both"/>
        <w:rPr>
          <w:rFonts w:ascii="Arial;sans-serif" w:hAnsi="Arial;sans-serif"/>
          <w:b w:val="false"/>
          <w:color w:val="000000"/>
          <w:sz w:val="20"/>
        </w:rPr>
      </w:pPr>
      <w:r>
        <w:rPr>
          <w:rFonts w:ascii="Arial;sans-serif" w:hAnsi="Arial;sans-serif"/>
          <w:b w:val="false"/>
          <w:color w:val="000000"/>
          <w:sz w:val="20"/>
        </w:rPr>
        <w:t>The following tables summarize changes in Shareholders’ Equity for the three month and six month periods ended June 30, 2025:</w:t>
      </w:r>
    </w:p>
    <w:p>
      <w:pPr>
        <w:pStyle w:val="TextBody"/>
        <w:bidi w:val="0"/>
        <w:spacing w:before="20" w:after="283"/>
        <w:jc w:val="both"/>
        <w:rPr/>
      </w:pPr>
      <w:r>
        <w:rPr/>
      </w:r>
    </w:p>
    <w:tbl>
      <w:tblPr>
        <w:tblW w:w="10747" w:type="dxa"/>
        <w:jc w:val="left"/>
        <w:tblInd w:w="0" w:type="dxa"/>
        <w:tblLayout w:type="fixed"/>
        <w:tblCellMar>
          <w:top w:w="28" w:type="dxa"/>
          <w:left w:w="28" w:type="dxa"/>
          <w:bottom w:w="28" w:type="dxa"/>
          <w:right w:w="28" w:type="dxa"/>
        </w:tblCellMar>
      </w:tblPr>
      <w:tblGrid>
        <w:gridCol w:w="342"/>
        <w:gridCol w:w="283"/>
        <w:gridCol w:w="231"/>
        <w:gridCol w:w="233"/>
        <w:gridCol w:w="233"/>
        <w:gridCol w:w="161"/>
        <w:gridCol w:w="188"/>
        <w:gridCol w:w="274"/>
        <w:gridCol w:w="109"/>
        <w:gridCol w:w="109"/>
        <w:gridCol w:w="1501"/>
        <w:gridCol w:w="166"/>
        <w:gridCol w:w="526"/>
        <w:gridCol w:w="109"/>
        <w:gridCol w:w="318"/>
        <w:gridCol w:w="1182"/>
        <w:gridCol w:w="211"/>
        <w:gridCol w:w="166"/>
        <w:gridCol w:w="541"/>
        <w:gridCol w:w="109"/>
        <w:gridCol w:w="233"/>
        <w:gridCol w:w="233"/>
        <w:gridCol w:w="161"/>
        <w:gridCol w:w="287"/>
        <w:gridCol w:w="935"/>
        <w:gridCol w:w="189"/>
        <w:gridCol w:w="212"/>
        <w:gridCol w:w="519"/>
        <w:gridCol w:w="140"/>
        <w:gridCol w:w="166"/>
        <w:gridCol w:w="5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7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w:t>
              <w:br/>
              <w:t>Shareholders' Equity</w:t>
            </w:r>
          </w:p>
        </w:tc>
        <w:tc>
          <w:tcPr>
            <w:tcW w:w="84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2"/>
              </w:rPr>
            </w:pPr>
            <w:r>
              <w:rPr>
                <w:rFonts w:ascii="Arial;sans-serif" w:hAnsi="Arial;sans-serif"/>
                <w:b/>
                <w:color w:val="000000"/>
                <w:sz w:val="12"/>
              </w:rPr>
              <w:t>(in thousands)</w:t>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2025</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1,074,863 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(448,363)</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5,193 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905,168 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9,183 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issued to Directors'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 of Treasury shares (a)</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(51,295)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$0.27 per share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2025</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456,587 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1,075,934 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(144,292)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(499,658)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5,497 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894,109 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10747" w:type="dxa"/>
        <w:jc w:val="left"/>
        <w:tblInd w:w="0" w:type="dxa"/>
        <w:tblLayout w:type="fixed"/>
        <w:tblCellMar>
          <w:top w:w="28" w:type="dxa"/>
          <w:left w:w="28" w:type="dxa"/>
          <w:bottom w:w="28" w:type="dxa"/>
          <w:right w:w="28" w:type="dxa"/>
        </w:tblCellMar>
      </w:tblPr>
      <w:tblGrid>
        <w:gridCol w:w="396"/>
        <w:gridCol w:w="229"/>
        <w:gridCol w:w="231"/>
        <w:gridCol w:w="233"/>
        <w:gridCol w:w="233"/>
        <w:gridCol w:w="161"/>
        <w:gridCol w:w="188"/>
        <w:gridCol w:w="274"/>
        <w:gridCol w:w="109"/>
        <w:gridCol w:w="109"/>
        <w:gridCol w:w="1501"/>
        <w:gridCol w:w="166"/>
        <w:gridCol w:w="526"/>
        <w:gridCol w:w="109"/>
        <w:gridCol w:w="318"/>
        <w:gridCol w:w="1182"/>
        <w:gridCol w:w="211"/>
        <w:gridCol w:w="166"/>
        <w:gridCol w:w="541"/>
        <w:gridCol w:w="109"/>
        <w:gridCol w:w="233"/>
        <w:gridCol w:w="233"/>
        <w:gridCol w:w="161"/>
        <w:gridCol w:w="287"/>
        <w:gridCol w:w="935"/>
        <w:gridCol w:w="189"/>
        <w:gridCol w:w="212"/>
        <w:gridCol w:w="519"/>
        <w:gridCol w:w="140"/>
        <w:gridCol w:w="166"/>
        <w:gridCol w:w="52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7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w:t>
              <w:br/>
              <w:t>Shareholders' Equity</w:t>
            </w:r>
          </w:p>
        </w:tc>
        <w:tc>
          <w:tcPr>
            <w:tcW w:w="84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2"/>
              </w:rPr>
            </w:pPr>
            <w:r>
              <w:rPr>
                <w:rFonts w:ascii="Arial;sans-serif" w:hAnsi="Arial;sans-serif"/>
                <w:b/>
                <w:color w:val="000000"/>
                <w:sz w:val="12"/>
              </w:rPr>
              <w:t>(in thousands)</w:t>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2024</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1,065,763 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(379,210)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5,409 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948,947 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income/(loss)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26,538 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issued to Directors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 of Treasury shares (a)</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(120,448)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$0.54 per share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paid to 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2025</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456,587 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1,075,934 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(499,658)</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5,497 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894,109 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Arial;sans-serif" w:hAnsi="Arial;sans-serif"/>
          <w:b w:val="false"/>
          <w:color w:val="000000"/>
          <w:sz w:val="18"/>
        </w:rPr>
      </w:pPr>
      <w:r>
        <w:rPr>
          <w:rFonts w:ascii="Arial;sans-serif" w:hAnsi="Arial;sans-serif"/>
          <w:b w:val="false"/>
          <w:color w:val="000000"/>
          <w:sz w:val="18"/>
        </w:rPr>
        <w:t>(a)On February 21, 2025, the Company's Board of Directors authorized the Company to repurchase shares up to $250 million (excluding any fees, commissions, taxes or other expenses related to such purchases), which replaces the 2021 authorization.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19. Held for Sale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During the fourth quarter of 2025, we announced plans to commence a strategic review of the Amelia Earhart Drive facility in Salt Lake City. This review is progressing according to our planned timeline, and we have received multiple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indications of interest with regards to a sale of the facility. We continue to engage closely with our customers throughout the strategic assessment process. This review is expected to be completed by the end of 2026.</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has determined that the Amelia Earhart Drive facility met held-for-sale accounting criteria. Accordingly, the facility's assets and liabilities were classified as held-for-sale in the consolidated balance sheets for all periods presented. Upon classification as held for sale, the Company ceased depreciation and amortization of the related long-lived assets in accordance with applicable accounting guidance.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the assets and liabilities classified as held-for-sale at June 30, 2026 and December 31, 2025:</w:t>
      </w:r>
    </w:p>
    <w:tbl>
      <w:tblPr>
        <w:tblW w:w="6621" w:type="dxa"/>
        <w:jc w:val="left"/>
        <w:tblInd w:w="0" w:type="dxa"/>
        <w:tblLayout w:type="fixed"/>
        <w:tblCellMar>
          <w:top w:w="28" w:type="dxa"/>
          <w:left w:w="28" w:type="dxa"/>
          <w:bottom w:w="28" w:type="dxa"/>
          <w:right w:w="28" w:type="dxa"/>
        </w:tblCellMar>
      </w:tblPr>
      <w:tblGrid>
        <w:gridCol w:w="1306"/>
        <w:gridCol w:w="1152"/>
        <w:gridCol w:w="1156"/>
        <w:gridCol w:w="109"/>
        <w:gridCol w:w="212"/>
        <w:gridCol w:w="848"/>
        <w:gridCol w:w="109"/>
        <w:gridCol w:w="109"/>
        <w:gridCol w:w="287"/>
        <w:gridCol w:w="1124"/>
        <w:gridCol w:w="209"/>
      </w:tblGrid>
      <w:tr>
        <w:trPr/>
        <w:tc>
          <w:tcPr>
            <w:tcW w:w="13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22,567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94,583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93,525 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 net</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293,783 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58,258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59,724 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187,108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203,323 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20. Subsequent Events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evaluated subsequent events through the issuance date of these financial statements in Form 10-Q. No material subsequent events were identified that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 These forward-looking statements are qualified in their entirety by the specific cautionary factors identified below and the more detailed risk factor discussions contained in those filings. Investors should not place undue reliance on any forward-looking statement.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are a number of risks, uncertainties, and other important factors that could cause actual results to differ materially from the forward-looking statements, including, but not limited to: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Across the entire Company, increasing labor, raw material, energy, or logistics and costs due to supply chain constraints and inflationary pressures. These challenges have only increased as a result of the ongoing Russia-Ukraine war and the conflict in the Middle East;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Across both segments, potential port strikes could cause additional disruptions to our supply chain;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Harm caused by changes in our relationships or contracts with suppliers and customers;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Machine Clothing segment, greater than anticipated declines in the demand for publication grades of paper, or lower than anticipated growth in other paper grades;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Inability of our Machine Clothing or Albany Engineered Composites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geopolitical conditions impacting countries where the Company does or intends to do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achieve or maintain anticipated profitable growth;</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achieve our strategic initiatives and other goals, including, but not limited to, our sustainability goals;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the estimates and expectations based on aircraft production rates provided by Airbus, Boeing and others;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risks associated with changes in estimates and assumptions that could result in a decline in program gross margins or turn a profitable program into a loss program;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Assets classified as held for sale may be sold for proceeds lower than currently estimated, or not sold within expected terms or timing;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inflation, an economic slowdown or recession and by disruption in capital and credit markets that might impede our access to credit, increase our borrowing costs and impair the financial soundness of our customers and suppliers;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trade policy, tariffs, or import/export restrictions that may significantly and adversely impact our results of operations;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Expectations regarding our ability to attract, motivate, and retain the workforce necessary to execute our business strategy and other goals;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fluctuations in foreign currency exchange rates;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Harm caused by customer purchase reductions, payment defaults or contract non-renewal;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future funding and compliance risks associated with our contracts with government entities, OEM customers or prime contractors on contracts with governmental agencies;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Costly and disruptive legal disputes and settlements;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Future levels of indebtedness and capital expenditures;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changes in tax legislation or challenges to our tax positions;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Cybersecurity incidents or significant computer system compromises or data breaches;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Significant problems with information systems or networks;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successfully integrate the Heimbach Group companies into our business systems and processes within the expected timeframe or, failure to or delayed realization of anticipated benefits of the acquisition could adversely impact the Company’s business, financial condition and results of operations;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Other risks and uncertainties detailed in this report and other periodic reports.</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Further information concerning important factors that could cause actual events or results to be materially different from the forward-looking statements can be found in the “Business Environment Overview and Trends” sections of this quarterly report, as well as in the Item 1A-“Risk Factors” section of our most recent Annual Report on Form 10-K. The risk factors enumerated above and in those filings are intended to be meaningful cautionary statements for purposes of the safe harbor provisions of the Private Securities Litigation Reform Act of 1995, and such factors are specifically incorporated by reference herein.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 xml:space="preserve">Business Environment Overview and Trends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conduct our business under two reportable segments: Machine Clothing (“MC”) and Albany Engineered Composites (“AEC”) each rooted in similar materials sciences know-how that forms a common approach to customer value proposition in design and manufacturability. MC competes on the basis of its deep industry knowledge, customer reputation and customer service and global advanced textile manufacturing capabilities, which has enabled it to develop a robust and market leading product offering that can be tailored to customer-specific requirements. AEC competes on the basis of its innovative technology solutions, extensive composite manufacturing capabilities and capacity that enable it to offer high quality specific part and assembly solutions that achieve its customers’ application performance requirements.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Also, please refer to the Business Environment Overview and Trends in the Management's Discussion and Analysis of Financial Condition and Results of Operations in our Annual Report on Form 10-K for the year ended December 31, 2025. The Annual Report on Form 10-K, along with the Company's other filings, can be found on the Securities and Exchange Commission's website, www.sec.gov, as well as on the Company's website: www.albint.com.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Global, economic, and political conditions, changes in raw material and commodity prices and supply, labor availability and costs, inflation, interest rates, potential changes in U.S. government policy positions, including changes in Department of Defense policies or priorities, geopolitical conflicts and strained international relations, U.S. and non-U.S. tax law changes, foreign currency exchange rates, sanctions, tariffs, energy costs and supply, and the impact from natural disasters and weather conditions create uncertainties that could impact our businesses.</w:t>
      </w:r>
    </w:p>
    <w:p>
      <w:pPr>
        <w:pStyle w:val="TextBody"/>
        <w:bidi w:val="0"/>
        <w:spacing w:lineRule="auto" w:line="288" w:before="200" w:after="283"/>
        <w:jc w:val="both"/>
        <w:rPr>
          <w:rFonts w:ascii="Arial;sans-serif" w:hAnsi="Arial;sans-serif"/>
          <w:b w:val="false"/>
          <w:color w:val="000000"/>
          <w:sz w:val="20"/>
          <w:u w:val="single"/>
        </w:rPr>
      </w:pPr>
      <w:r>
        <w:rPr>
          <w:rFonts w:ascii="Arial;sans-serif" w:hAnsi="Arial;sans-serif"/>
          <w:b w:val="false"/>
          <w:color w:val="000000"/>
          <w:sz w:val="20"/>
          <w:u w:val="single"/>
        </w:rPr>
        <w:t xml:space="preserve">Machine Clothing Segment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MC segment continues to deliver resilient performance, with several areas performing well despite uneven market dynamics. In Asia, softer demand—across Paper Machine Clothing &amp; Engineered Fabrics—continues to contribute to regional pressure. Packaging and Tissue continue to perform well, supported by growth across most regions. Looking ahead to the remainder of 2026, we expect Packaging and Tissue to remain positive contributors, with sales in Europe holding broadly stable, while trajectory in the Americas is impacted by cyclical moderation tied to customer consolidations. Publication grades remained under structural pressure, and the MC segment expects publication grade paper demand to continue declining through 2026 and beyond, offset by growing demand for tissue grade products.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believe the MC segment is well-positioned in key markets, with high-quality, low-cost production in growth markets, substantially lower fixed costs in mature markets, and continued strength in new product development, technical product support, and manufacturing technology. Some of the markets in which MC's products are sold are expected to have volume trends that are in line with global GDP. Despite pricing and demand pressures on revenue growth, the MC segment is expected to improve earnings in the future through technological innovations, manufacturing productivity efficiencies, global footprint optimization, and cost controls.</w:t>
      </w:r>
    </w:p>
    <w:p>
      <w:pPr>
        <w:pStyle w:val="TextBody"/>
        <w:bidi w:val="0"/>
        <w:spacing w:lineRule="auto" w:line="268" w:before="200" w:after="283"/>
        <w:jc w:val="both"/>
        <w:rPr>
          <w:rFonts w:ascii="Arial;sans-serif" w:hAnsi="Arial;sans-serif"/>
          <w:b w:val="false"/>
          <w:color w:val="000000"/>
          <w:sz w:val="20"/>
        </w:rPr>
      </w:pPr>
      <w:r>
        <w:rPr>
          <w:rFonts w:ascii="Arial;sans-serif" w:hAnsi="Arial;sans-serif"/>
          <w:b w:val="false"/>
          <w:color w:val="000000"/>
          <w:sz w:val="20"/>
        </w:rPr>
        <w:t>The MC segment has been a significant generator of operating cash inflows for the Company. The Company seeks to maintain the cash-generating potential of this business by vigorously using our differentiated and technically superior products to reduce our customers’ total cost of operation while improving their paper quality, and by maintaining lower costs through a continued focus on cost-reduction initiatives and strategic investment.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u w:val="single"/>
        </w:rPr>
      </w:pPr>
      <w:r>
        <w:rPr>
          <w:rFonts w:ascii="Arial;sans-serif" w:hAnsi="Arial;sans-serif"/>
          <w:b w:val="false"/>
          <w:color w:val="000000"/>
          <w:sz w:val="20"/>
          <w:u w:val="single"/>
        </w:rPr>
        <w:t>Albany Engineered Composites Segment</w:t>
      </w:r>
    </w:p>
    <w:p>
      <w:pPr>
        <w:pStyle w:val="TextBody"/>
        <w:bidi w:val="0"/>
        <w:spacing w:lineRule="auto" w:line="268" w:before="200" w:after="283"/>
        <w:jc w:val="both"/>
        <w:rPr>
          <w:rFonts w:ascii="Arial;sans-serif" w:hAnsi="Arial;sans-serif"/>
          <w:b w:val="false"/>
          <w:color w:val="000000"/>
          <w:sz w:val="20"/>
        </w:rPr>
      </w:pPr>
      <w:r>
        <w:rPr>
          <w:rFonts w:ascii="Arial;sans-serif" w:hAnsi="Arial;sans-serif"/>
          <w:b w:val="false"/>
          <w:color w:val="000000"/>
          <w:sz w:val="20"/>
        </w:rPr>
        <w:t>The AEC segment's strategy is to continue to build on its global brand by leveraging its industry leading performance to drive future growth through technology differentiation. This includes continued investment in AEC's proprietary 3D-woven technology to accelerate solutions that can be offered across a set of broader applications, and by leveraging the AEC's non-3D technology capabilities and capacity, on high-value aerospace (both commercial and defense) applications, and other emerging markets such as space and advanced air mobility ("AAM"). The AEC segment provides longer-term growth potential for the Company as it ramps current production programs and captures new commercial and defense opportunities.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AEC segment (including Albany Safran Composites, LLC (“ASC”), in which our customer SAFRAN Group owns a 10% noncontrolling interest) supplies a number of customers in the aerospace industry. AEC’s largest aerospace customer is the SAFRAN Group ("SAFRAN") and sales to SAFRAN, through ASC, (consisting primarily of fan blades and cases for CFM International’s LEAP engine) accounted for approximately 15% of the Company’s consolidated Net revenues in 2025. The AEC segment, through ASC, also supplies 3D-woven composite fan cases for the GE9X engine. Outside of ASC, the AEC segment also supplies 3D-woven composite vanes for the F-35 Liftfan.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AEC segment's current portfolio of non-3D programs includes components for the CH-53K helicopter, components for the F-35, missile bodies for Lockheed Martin’s JASSM air-to-surface missiles, fuselage components for the Boeing 787 aircraft, vacuum waste tanks for Boeing commercial aircraft and components and structures for other commercial, defense, and space and AAM programs. In 2025, approximately 35% of AEC net revenues were related to U.S. government contracts or programs.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AEC segment is dependent on global supply chains and has experienced disruptions in recent years. In addition, higher inflation levels increased material costs, higher labor rates and other supplier costs that have impacted the AEC segment’s results of operations. The AEC segment attempts to mitigate raw material and supplier costs by entering into long-term supply agreements. However, in some cases, higher raw material and supplier costs adversely impacted certain firm-fixed price programs resulting in lower program gross margins. In addition, as the AEC segment ramps-up larger complex programs, such as those associated with the CH-53 program, it continues to face challenges in staffing and training its workforce to support production rates, which has impacted operational productivity, particularly at its Salt Lake City facility, and contributed to increased labor and scrap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During the fourth quarter of 2025, we announced plans to commence a strategic review of the Amelia Earhart Drive facility in Salt Lake City. This review is progressing according to our planned timeline, and we have received multiple indications of interest with regards to a sale of the facility. We continue to engage closely with our customers throughout the strategic assessment process. This review is expected to be completed by the end of 2026. As of December 31, 2025, we determined that the assets and liabilities of this group meet the held-for-sale criteria, and they have been classified as such within our consolidated balance sheets for all periods presented. Upon classification as held for sale, the Company ceased depreciation and amortization of the related long-lived assets in accordance with applicable accounting guidance.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 and Gross Profit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Consolidated Net revenues and Gross profit:</w:t>
      </w:r>
    </w:p>
    <w:tbl>
      <w:tblPr>
        <w:tblW w:w="8231" w:type="dxa"/>
        <w:jc w:val="left"/>
        <w:tblInd w:w="0" w:type="dxa"/>
        <w:tblLayout w:type="fixed"/>
        <w:tblCellMar>
          <w:top w:w="28" w:type="dxa"/>
          <w:left w:w="28" w:type="dxa"/>
          <w:bottom w:w="28" w:type="dxa"/>
          <w:right w:w="28" w:type="dxa"/>
        </w:tblCellMar>
      </w:tblPr>
      <w:tblGrid>
        <w:gridCol w:w="1059"/>
        <w:gridCol w:w="931"/>
        <w:gridCol w:w="934"/>
        <w:gridCol w:w="211"/>
        <w:gridCol w:w="841"/>
        <w:gridCol w:w="271"/>
        <w:gridCol w:w="211"/>
        <w:gridCol w:w="826"/>
        <w:gridCol w:w="271"/>
        <w:gridCol w:w="211"/>
        <w:gridCol w:w="841"/>
        <w:gridCol w:w="271"/>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329,482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640,815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107,901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207,695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193,993 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margin</w:t>
            </w:r>
          </w:p>
        </w:tc>
        <w:tc>
          <w:tcPr>
            <w:tcW w:w="10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32.7</w:t>
            </w:r>
            <w:r>
              <w:rPr>
                <w:color w:val="000000"/>
              </w:rPr>
              <w:t>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32.4</w:t>
            </w:r>
            <w:r>
              <w:rPr>
                <w:color w:val="000000"/>
              </w:rPr>
              <w:t>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revenues for the three months ended June 30, 2026 increased $18.1 million or 5.8% as compared to the three months ended June 30, 2025 primarily due to higher activity levels in the AEC segment partially offset by softness in the MC business as a result of reduced activity levels in the Americas region and temporary production interruptions in the business. Additionally, changes in currency translation rates increased comparative segment net revenues by $4.0 million as compared to the prior year.</w:t>
      </w:r>
    </w:p>
    <w:p>
      <w:pPr>
        <w:pStyle w:val="TextBody"/>
        <w:bidi w:val="0"/>
        <w:spacing w:lineRule="auto" w:line="288" w:before="200" w:after="283"/>
        <w:jc w:val="both"/>
        <w:rPr/>
      </w:pPr>
      <w:r>
        <w:rPr>
          <w:rFonts w:ascii="Arial;sans-serif" w:hAnsi="Arial;sans-serif"/>
          <w:b w:val="false"/>
          <w:color w:val="000000"/>
          <w:sz w:val="20"/>
        </w:rPr>
        <w:t>The increase in gross profit of $10.4 million for the three months ended June 30, 2026, as compared to the three months ended June 30, 2025, was primarily driven by the increased sales volume. Gross profit margin increased slightly to 32.7% from 31.3%</w:t>
      </w:r>
      <w:r>
        <w:rPr>
          <w:color w:val="000000"/>
        </w:rPr>
        <w:t xml:space="preserve"> </w:t>
      </w:r>
      <w:r>
        <w:rPr>
          <w:rFonts w:ascii="Arial;sans-serif" w:hAnsi="Arial;sans-serif"/>
          <w:b w:val="false"/>
          <w:color w:val="000000"/>
          <w:sz w:val="20"/>
        </w:rPr>
        <w:t>for the three months ended June 30, 2026 and June 30, 2025, respectively.</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Six Month Comparison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revenues for the six months ended June 30, 2026 increased $40.6 million or 6.8% as compared to the six months ended June 30, 2025 primarily due to higher activity levels in the AEC segment partially offset by softness in the MC business as a result of reduced activity levels in the Americas region and temporary production interruptions in the business. Additionally, changes in currency translation rates increased comparative segment net revenues by $13.2 million as compared to the prior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increase in gross profit of $13.7 million for the six months ended June 30, 2026, as compared to the six months ended June 30, 2025, was driven by the increased sales volume. Gross profit margin held stable at 32.4% and 32.3% for the six months ended June 30, 2026 and June 30, 2025, respectively.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Consolidated Operating expenses by classification:</w:t>
      </w:r>
    </w:p>
    <w:tbl>
      <w:tblPr>
        <w:tblW w:w="9229" w:type="dxa"/>
        <w:jc w:val="left"/>
        <w:tblInd w:w="0" w:type="dxa"/>
        <w:tblLayout w:type="fixed"/>
        <w:tblCellMar>
          <w:top w:w="28" w:type="dxa"/>
          <w:left w:w="28" w:type="dxa"/>
          <w:bottom w:w="28" w:type="dxa"/>
          <w:right w:w="28" w:type="dxa"/>
        </w:tblCellMar>
      </w:tblPr>
      <w:tblGrid>
        <w:gridCol w:w="1483"/>
        <w:gridCol w:w="1304"/>
        <w:gridCol w:w="1308"/>
        <w:gridCol w:w="214"/>
        <w:gridCol w:w="748"/>
        <w:gridCol w:w="275"/>
        <w:gridCol w:w="214"/>
        <w:gridCol w:w="732"/>
        <w:gridCol w:w="275"/>
        <w:gridCol w:w="211"/>
        <w:gridCol w:w="841"/>
        <w:gridCol w:w="271"/>
        <w:gridCol w:w="211"/>
        <w:gridCol w:w="826"/>
        <w:gridCol w:w="316"/>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56,068</w:t>
            </w: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114,367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11,722</w:t>
            </w: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24,679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7,973</w:t>
            </w: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11,138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75,763</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75,237 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150,184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143,460 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 as a % of net revenues</w:t>
            </w:r>
          </w:p>
        </w:tc>
        <w:tc>
          <w:tcPr>
            <w:tcW w:w="9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23.0</w:t>
            </w:r>
            <w:r>
              <w:rPr>
                <w:color w:val="000000"/>
              </w:rPr>
              <w:t> </w:t>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23.4</w:t>
            </w:r>
            <w:r>
              <w:rPr>
                <w:color w:val="000000"/>
              </w:rPr>
              <w:t>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Three Month Comparison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Consolidated Selling, general and administrative ("SG&amp;A") expenses decreased $2.4 million or 4.2% as compared to the three months ended June 30, 2025. The overall changes are primarily the result of cost control actions and favorable foreign currency impacts particularly in the MC business.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Consolidated Technical and research expenses decreased by $0.8 million as compared to the three months ended June 30, 2025, primarily due to lower intellectual property-related defense costs in the current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Restructuring expenses, net of $8.0 million in the three months ended June 30, 2026, increased by $3.8 million compared to $4.2 million in the three months ended June 30, 2025. The increase in restructuring expenses for the three month period is primarily a result of higher asset transfer costs related to site consolidations and higher consulting costs.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Six Month Comparison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Consolidated Selling, general and administrative ("SG&amp;A") expenses increased $2.1 million or 1.8% as compared to the six months ended June 30, 2025. The overall changes are primarily the result of costs incurred related to the strategic review of the Amelia Earhart Drive facility.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Consolidated Technical and research expenses increased by $0.2 million as compared to the six months ended June 30, 2025, primarily due to costs associated with new business venture initiatives.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Restructuring expenses, net of $11.1 million in the six months ended June 30, 2026, increased by $4.4 million compared to $6.7 million in the six months ended June 30, 2025. The increase in restructuring expenses for the six month period is primarily a result of higher asset transfer costs related to site consolidations and higher consulting costs. </w:t>
      </w:r>
    </w:p>
    <w:p>
      <w:pPr>
        <w:pStyle w:val="TextBody"/>
        <w:bidi w:val="0"/>
        <w:spacing w:lineRule="auto" w:line="288" w:before="14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See the Segment Results of Operations section of this Management's Discussion and Analysis of Financial Condition and Results of Operations for significant drivers of Operating income/(loss) for each business segment.</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Earnings Items</w:t>
      </w:r>
    </w:p>
    <w:tbl>
      <w:tblPr>
        <w:tblW w:w="9116" w:type="dxa"/>
        <w:jc w:val="left"/>
        <w:tblInd w:w="0" w:type="dxa"/>
        <w:tblLayout w:type="fixed"/>
        <w:tblCellMar>
          <w:top w:w="28" w:type="dxa"/>
          <w:left w:w="28" w:type="dxa"/>
          <w:bottom w:w="28" w:type="dxa"/>
          <w:right w:w="28" w:type="dxa"/>
        </w:tblCellMar>
      </w:tblPr>
      <w:tblGrid>
        <w:gridCol w:w="1581"/>
        <w:gridCol w:w="1390"/>
        <w:gridCol w:w="1394"/>
        <w:gridCol w:w="275"/>
        <w:gridCol w:w="822"/>
        <w:gridCol w:w="142"/>
        <w:gridCol w:w="275"/>
        <w:gridCol w:w="803"/>
        <w:gridCol w:w="142"/>
        <w:gridCol w:w="237"/>
        <w:gridCol w:w="829"/>
        <w:gridCol w:w="122"/>
        <w:gridCol w:w="237"/>
        <w:gridCol w:w="694"/>
        <w:gridCol w:w="17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6,068</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11,535</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(3,154)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8,327</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15,977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458</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Arial;sans-serif" w:hAnsi="Arial;sans-serif"/>
          <w:b/>
          <w:color w:val="000000"/>
          <w:sz w:val="20"/>
        </w:rPr>
      </w:pPr>
      <w:r>
        <w:rPr>
          <w:rFonts w:ascii="Arial;sans-serif" w:hAnsi="Arial;sans-serif"/>
          <w:b/>
          <w:color w:val="000000"/>
          <w:sz w:val="20"/>
        </w:rPr>
        <w:t>Interest Expense, net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Interest expense, net, increased over the prior year primarily due to higher average debt balances as well as a lower amount of interest income earned on cash equivalents during the current year.</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(Income)/Expense, net</w:t>
      </w:r>
    </w:p>
    <w:p>
      <w:pPr>
        <w:pStyle w:val="TextBody"/>
        <w:bidi w:val="0"/>
        <w:spacing w:lineRule="auto" w:line="288" w:before="100" w:after="283"/>
        <w:jc w:val="both"/>
        <w:rPr/>
      </w:pPr>
      <w:r>
        <w:rPr>
          <w:rFonts w:ascii="Arial;sans-serif" w:hAnsi="Arial;sans-serif"/>
          <w:b w:val="false"/>
          <w:color w:val="000000"/>
          <w:sz w:val="20"/>
        </w:rPr>
        <w:t>Other (income)/expense, net, included foreign currency related activity which resulted in gains of $0.5 million and $2.7 million in the three and six months ended June 30, 2026, as compared to losses of $5.7 million and $8.8 million in the same periods last year. These changes were primarily the result of unrealized gains and losses on intercompany loans. In addition, changes in the fair value of derivative instruments included gains of $0.2 million and $1.5 million in the three and six months ended June 30, 2026, as compared to gains of $0.7 million and $3.3 million for the three and six months ended June 30, 2025. Unrealized gains and losses on both derivative instruments and intercompany loans were driven by currency rate movements, most notably the Brazilian Real and Mexican Peso. Components of net periodic pension and postretirement costs other than service costs constituted expenses of $1.5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$3.0 million</w:t>
      </w:r>
      <w:r>
        <w:rPr>
          <w:color w:val="000000"/>
        </w:rPr>
        <w:t xml:space="preserve"> </w:t>
      </w:r>
      <w:r>
        <w:rPr>
          <w:rFonts w:ascii="Arial;sans-serif" w:hAnsi="Arial;sans-serif"/>
          <w:b w:val="false"/>
          <w:color w:val="000000"/>
          <w:sz w:val="20"/>
        </w:rPr>
        <w:t>in the three and six months ended June 30, 2026, as compared to income of $0.5 million for the</w:t>
      </w:r>
      <w:r>
        <w:rPr>
          <w:color w:val="000000"/>
        </w:rPr>
        <w:t xml:space="preserve"> </w:t>
      </w:r>
      <w:r>
        <w:rPr>
          <w:rFonts w:ascii="Arial;sans-serif" w:hAnsi="Arial;sans-serif"/>
          <w:b w:val="false"/>
          <w:color w:val="000000"/>
          <w:sz w:val="20"/>
        </w:rPr>
        <w:t xml:space="preserve">three months ended June 30, 2025 and expenses of $0.3 million for the six months ended June 30, 2025. See </w:t>
      </w:r>
      <w:r>
        <w:rPr>
          <w:rFonts w:ascii="Arial;sans-serif" w:hAnsi="Arial;sans-serif"/>
          <w:b w:val="false"/>
          <w:i/>
          <w:color w:val="000000"/>
          <w:sz w:val="20"/>
        </w:rPr>
        <w:t>Note 6, Other (Income)/Expense, net,</w:t>
      </w:r>
      <w:r>
        <w:rPr>
          <w:color w:val="000000"/>
        </w:rPr>
        <w:t xml:space="preserve"> </w:t>
      </w:r>
      <w:r>
        <w:rPr>
          <w:rFonts w:ascii="Arial;sans-serif" w:hAnsi="Arial;sans-serif"/>
          <w:b w:val="false"/>
          <w:color w:val="000000"/>
          <w:sz w:val="20"/>
        </w:rPr>
        <w:t>in the Notes to the Consolidated Financial Statements in Item 1, which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Effective Income Tax Rate</w:t>
      </w:r>
    </w:p>
    <w:tbl>
      <w:tblPr>
        <w:tblW w:w="7122" w:type="dxa"/>
        <w:jc w:val="left"/>
        <w:tblInd w:w="0" w:type="dxa"/>
        <w:tblLayout w:type="fixed"/>
        <w:tblCellMar>
          <w:top w:w="28" w:type="dxa"/>
          <w:left w:w="28" w:type="dxa"/>
          <w:bottom w:w="28" w:type="dxa"/>
          <w:right w:w="28" w:type="dxa"/>
        </w:tblCellMar>
      </w:tblPr>
      <w:tblGrid>
        <w:gridCol w:w="836"/>
        <w:gridCol w:w="736"/>
        <w:gridCol w:w="738"/>
        <w:gridCol w:w="274"/>
        <w:gridCol w:w="274"/>
        <w:gridCol w:w="681"/>
        <w:gridCol w:w="274"/>
        <w:gridCol w:w="274"/>
        <w:gridCol w:w="681"/>
        <w:gridCol w:w="263"/>
        <w:gridCol w:w="263"/>
        <w:gridCol w:w="608"/>
        <w:gridCol w:w="255"/>
        <w:gridCol w:w="256"/>
        <w:gridCol w:w="709"/>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3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32.0</w:t>
            </w:r>
            <w:r>
              <w:rPr>
                <w:color w:val="000000"/>
              </w:rPr>
              <w:t>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32.5</w:t>
            </w:r>
            <w:r>
              <w:rPr>
                <w:color w:val="000000"/>
              </w:rPr>
              <w:t>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pStyle w:val="TextBody"/>
        <w:bidi w:val="0"/>
        <w:spacing w:before="120" w:after="283"/>
        <w:jc w:val="both"/>
        <w:rPr/>
      </w:pPr>
      <w:r>
        <w:rPr/>
      </w:r>
    </w:p>
    <w:p>
      <w:pPr>
        <w:pStyle w:val="TextBody"/>
        <w:bidi w:val="0"/>
        <w:spacing w:lineRule="auto" w:line="268" w:before="0" w:after="0"/>
        <w:jc w:val="left"/>
        <w:rPr/>
      </w:pPr>
      <w:r>
        <w:rPr>
          <w:rFonts w:ascii="Arial;sans-serif" w:hAnsi="Arial;sans-serif"/>
          <w:b w:val="false"/>
          <w:color w:val="000000"/>
          <w:sz w:val="20"/>
        </w:rPr>
        <w:t xml:space="preserve">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six months ended June 30, 2026 was 32.5%, compared to 28.3% for the same period in 2025, mainly due to unfavorable discrete tax adjustments recognized in the current period, partially offset by favorable discrete tax adjustments, compared to favorable discrete tax adjustments recognized in the prior period. For more information, see </w:t>
      </w:r>
      <w:r>
        <w:rPr>
          <w:rFonts w:ascii="Arial;sans-serif" w:hAnsi="Arial;sans-serif"/>
          <w:b w:val="false"/>
          <w:i/>
          <w:color w:val="000000"/>
          <w:sz w:val="20"/>
        </w:rPr>
        <w:t>Note 7, Income Taxes,</w:t>
      </w:r>
      <w:r>
        <w:rPr>
          <w:color w:val="000000"/>
        </w:rPr>
        <w:t xml:space="preserve"> </w:t>
      </w:r>
      <w:r>
        <w:rPr>
          <w:rFonts w:ascii="Arial;sans-serif" w:hAnsi="Arial;sans-serif"/>
          <w:b w:val="false"/>
          <w:color w:val="000000"/>
          <w:sz w:val="20"/>
        </w:rPr>
        <w:t>in the Notes to the Consolidated Financial Statements in Item 1, which is incorporated herein by reference.</w:t>
      </w:r>
    </w:p>
    <w:p>
      <w:pPr>
        <w:pStyle w:val="TextBody"/>
        <w:bidi w:val="0"/>
        <w:spacing w:before="200" w:after="283"/>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Organization for Economic Co-operation and Development has issued Pillar Two model rules introducing a new global minimum tax of 15 percent effective on January 1, 2024. The U.S. has not adopted the Pillar Two rules; however, various other governments around the world are enacting legislation. As currently designed, Pillar Two will ultimately apply to our worldwide operations. Certain foreign subsidiaries subject to the Pillar Two regime file reports to comply with locally enacted guidance. On January 1, 2026, the Pillar Two Side-by-Side (SbS) Safe Harbor agreement became effective, and the US is a Qualified SbS Regime. Therefore, a qualified US-headquartered multinational corporation may elect the SbS Safe Harbor and be exempt from minimum top-up tax. AIC intends to make the election. We do not expect the Pillar Two rules to materially increase our global tax costs in 2026, though uncertainty remains as the rules develop. We will continue to monitor U.S. and global legislative action related to Pillar Two for potential impacts.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Machine Clothing Segment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A summary of MC's selected financial results is as follows:</w:t>
      </w:r>
    </w:p>
    <w:tbl>
      <w:tblPr>
        <w:tblW w:w="8231" w:type="dxa"/>
        <w:jc w:val="left"/>
        <w:tblInd w:w="0" w:type="dxa"/>
        <w:tblLayout w:type="fixed"/>
        <w:tblCellMar>
          <w:top w:w="28" w:type="dxa"/>
          <w:left w:w="28" w:type="dxa"/>
          <w:bottom w:w="28" w:type="dxa"/>
          <w:right w:w="28" w:type="dxa"/>
        </w:tblCellMar>
      </w:tblPr>
      <w:tblGrid>
        <w:gridCol w:w="1059"/>
        <w:gridCol w:w="931"/>
        <w:gridCol w:w="934"/>
        <w:gridCol w:w="211"/>
        <w:gridCol w:w="841"/>
        <w:gridCol w:w="271"/>
        <w:gridCol w:w="211"/>
        <w:gridCol w:w="826"/>
        <w:gridCol w:w="271"/>
        <w:gridCol w:w="211"/>
        <w:gridCol w:w="841"/>
        <w:gridCol w:w="271"/>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178,710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344,662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80,947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156,009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SG&amp;A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33,490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66,739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6,363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13,548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6,389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9,065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34,705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66,657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w:t>
            </w:r>
            <w:r>
              <w:rPr>
                <w:color w:val="000000"/>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w:t>
            </w:r>
            <w:r>
              <w:rPr>
                <w:color w:val="000000"/>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200" w:after="283"/>
        <w:jc w:val="both"/>
        <w:rPr/>
      </w:pPr>
      <w:r>
        <w:rPr>
          <w:rFonts w:ascii="Arial;sans-serif" w:hAnsi="Arial;sans-serif"/>
          <w:b w:val="false"/>
          <w:color w:val="000000"/>
          <w:sz w:val="20"/>
        </w:rPr>
        <w:t>Net revenues for the three months ended June 30, 2026 decreased 1.2% as compared to the three months ended June 30, 2025, driven by reduced demand in the Americas region partially offset by strong performance within the European market and stable performance in Asia. Further, changes in currency translation rates had the effect of increasing Net revenues by $2.1 million</w:t>
      </w:r>
      <w:r>
        <w:rPr>
          <w:color w:val="000000"/>
        </w:rPr>
        <w:t xml:space="preserve"> </w:t>
      </w:r>
      <w:r>
        <w:rPr>
          <w:rFonts w:ascii="Arial;sans-serif" w:hAnsi="Arial;sans-serif"/>
          <w:b w:val="false"/>
          <w:color w:val="000000"/>
          <w:sz w:val="20"/>
        </w:rPr>
        <w:t>for the three months ended June 30, 2026, as compared to this period in 2025.</w:t>
      </w:r>
    </w:p>
    <w:p>
      <w:pPr>
        <w:pStyle w:val="TextBody"/>
        <w:bidi w:val="0"/>
        <w:spacing w:lineRule="auto" w:line="288" w:before="200" w:after="283"/>
        <w:jc w:val="both"/>
        <w:rPr/>
      </w:pPr>
      <w:r>
        <w:rPr>
          <w:rFonts w:ascii="Arial;sans-serif" w:hAnsi="Arial;sans-serif"/>
          <w:b w:val="false"/>
          <w:color w:val="000000"/>
          <w:sz w:val="20"/>
        </w:rPr>
        <w:t>Net revenues for the six months ended June 30, 2026 decreased 3.1% as compared to the six months ended June 30, 2025, driven by reduced demand in the Americas region and temporary production interruptions partially offset by strong performance within the European market and stable performance in Asia. Further, changes in currency translation rates had the effect of increasing Net revenues by $8.3 million</w:t>
      </w:r>
      <w:r>
        <w:rPr>
          <w:color w:val="000000"/>
        </w:rPr>
        <w:t xml:space="preserve"> </w:t>
      </w:r>
      <w:r>
        <w:rPr>
          <w:rFonts w:ascii="Arial;sans-serif" w:hAnsi="Arial;sans-serif"/>
          <w:b w:val="false"/>
          <w:color w:val="000000"/>
          <w:sz w:val="20"/>
        </w:rPr>
        <w:t>for the six months ended June 30, 2026, as compared to this period in 2025.</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Gross profit for the three months ended June 30, 2026 decreased by $2.8 million as compared to the three months ended June 30, 2025, primarily driven by the volume declines noted above, with gross profit margin also decreasing slightly from 46.3% to 45.3% in the three months ended June 30, 2025 and 2026, respectively.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Gross profit for the six months ended June 30, 2026 decreased by $7.7 million as compared to the six months ended June 30, 2025, primarily driven by the volume declines noted above, with gross profit margin also decreasing slightly from 46.0% to 45.3% in the six months ended June 30, 2025 and 2026, respectively.</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Operating income for the three months ended June 30, 2026 decreased $3.0 million or 7.9% as compared to the three months ended June 30, 2025, primarily as a result of gross profit declines and higher restructuring costs, offset by SG&amp;A cost containment. Incremental restructuring expenses were primarily a result of higher asset transfer costs related to site consolidations and higher consulting costs.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Operating income for the six months ended June 30, 2026 decreased $9.5 million or 12.4% as compared to the six months ended June 30, 2025, primarily as a result of gross profit declines and restructuring costs. Incremental restructuring expenses were primarily a result of higher asset transfer costs related to site consolidations and higher consulting costs.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Albany Engineered Composites Segment</w:t>
      </w:r>
    </w:p>
    <w:p>
      <w:pPr>
        <w:pStyle w:val="TextBody"/>
        <w:bidi w:val="0"/>
        <w:spacing w:lineRule="auto" w:line="288" w:before="200" w:after="283"/>
        <w:jc w:val="both"/>
        <w:rPr/>
      </w:pPr>
      <w:r>
        <w:rPr>
          <w:rFonts w:ascii="Arial;sans-serif" w:hAnsi="Arial;sans-serif"/>
          <w:b w:val="false"/>
          <w:color w:val="000000"/>
          <w:sz w:val="20"/>
        </w:rPr>
        <w:t>AEC has contracts with certain customers, including its contract for the LEAP program, where revenue is determined by a cost-plus-fee agreement. Revenue earned under this arrangement accounted for approximately 34%</w:t>
      </w:r>
      <w:r>
        <w:rPr>
          <w:color w:val="000000"/>
        </w:rPr>
        <w:t xml:space="preserve"> </w:t>
      </w:r>
      <w:r>
        <w:rPr>
          <w:rFonts w:ascii="Arial;sans-serif" w:hAnsi="Arial;sans-serif"/>
          <w:b w:val="false"/>
          <w:color w:val="000000"/>
          <w:sz w:val="20"/>
        </w:rPr>
        <w:t>and 34% of segment revenue for the six months ended June 30, 2026 and 2025, respectively.</w:t>
      </w:r>
    </w:p>
    <w:p>
      <w:pPr>
        <w:pStyle w:val="TextBody"/>
        <w:bidi w:val="0"/>
        <w:spacing w:lineRule="auto" w:line="288" w:before="200" w:after="283"/>
        <w:jc w:val="both"/>
        <w:rPr/>
      </w:pPr>
      <w:r>
        <w:rPr>
          <w:rFonts w:ascii="Arial;sans-serif" w:hAnsi="Arial;sans-serif"/>
          <w:b w:val="false"/>
          <w:color w:val="000000"/>
          <w:sz w:val="20"/>
        </w:rPr>
        <w:t>In addition, AEC has long-term contracts in which the selling price is fixed.</w:t>
      </w:r>
      <w:r>
        <w:rPr>
          <w:color w:val="000000"/>
        </w:rPr>
        <w:t xml:space="preserve"> </w:t>
      </w:r>
      <w:r>
        <w:rPr>
          <w:rFonts w:ascii="Arial;sans-serif" w:hAnsi="Arial;sans-serif"/>
          <w:b w:val="false"/>
          <w:color w:val="000000"/>
          <w:sz w:val="20"/>
        </w:rPr>
        <w:t>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 summary of AEC's selected financial results is as follows:</w:t>
      </w:r>
    </w:p>
    <w:tbl>
      <w:tblPr>
        <w:tblW w:w="8231" w:type="dxa"/>
        <w:jc w:val="left"/>
        <w:tblInd w:w="0" w:type="dxa"/>
        <w:tblLayout w:type="fixed"/>
        <w:tblCellMar>
          <w:top w:w="28" w:type="dxa"/>
          <w:left w:w="28" w:type="dxa"/>
          <w:bottom w:w="28" w:type="dxa"/>
          <w:right w:w="28" w:type="dxa"/>
        </w:tblCellMar>
      </w:tblPr>
      <w:tblGrid>
        <w:gridCol w:w="1059"/>
        <w:gridCol w:w="931"/>
        <w:gridCol w:w="934"/>
        <w:gridCol w:w="211"/>
        <w:gridCol w:w="841"/>
        <w:gridCol w:w="271"/>
        <w:gridCol w:w="211"/>
        <w:gridCol w:w="826"/>
        <w:gridCol w:w="271"/>
        <w:gridCol w:w="211"/>
        <w:gridCol w:w="841"/>
        <w:gridCol w:w="271"/>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150,772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296,153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26,954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51,686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SG&amp;A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11,315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22,901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4,210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8,758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11,429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20,027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revenues for the three months ended June 30, 2026 increased 15.6%, primarily driven by higher activity levels on various programs including LEAP platforms, B787 Frames, and Boeing Tanks, as well as lower unfavorable long-term contract adjustments. Further, changes in currency translation rates had the effect of increasing Net revenues by $1.8 million for the three months ended June 30, 2026, as compared to this period in 2025.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revenues for the six months ended June 30, 2026 increased 21.1%, primarily driven by higher activity levels on various programs including LEAP platforms, B787 Frames, F-35, and BETA Technologies, as well as lower unfavorable long-term contract adjustments. Further, changes in currency translation rates had the effect of increasing Net revenues by $5.0 million for the six months ended June 30, 2026, as compared to this period in 2025.</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Gross profit for the three months months ended June 30, 2026 increased $13.2 million as compared to the three months ended June 30, 2025, and Gross profit margin increased from 10.5% to 17.9% in the three months ended June 30, 2025 and 2026, respectively. The change was driven primarily by increases in revenue and lower depreciation related to held for sale accounting, as well as performance improvements on various programs, resulting in lower unfavorable long-term contract adjustments.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Gross profit for the six months ended June 30, 2026 increased $21.4 million as compared to the six months ended June 30, 2025, and Gross profit margin increased from 12.4% to 17.5% in the six months ended June 30, 2025 and 2026, respectively. The change was driven primarily by increases in revenue and lower depreciation related to held for sale accounting, as well as performance improvements on various programs, resulting in lower unfavorable long-term contract adjustments.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Operating income for the three months ended June 30, 2026 increased $14.1 million as compared to the three months ended June 30, 2025, principally due to favorable changes to Gross profit as noted above and the conclusion of restructuring activities from 2025. Operating income was further increased by a slight decrease in SG&amp;A expenses of $0.5 million from the prior period as a result of cost containment efforts.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Operating income for the six months ended June 30, 2026 increased $21.1 million as compared to the six months ended June 30, 2025, principally due to favorable changes to Gross profit as noted above and the conclusion of restructuring activities from 2025. This was slightly offset by an increase in SG&amp;A expenses of $1.0 million from the prior period. Additionally, Technical and research expenses increased $1.0 million for the six months ended June 30, 2026 as compared to the six months ended June 30, 2025, driven by increased consulting costs to assist with continued innovation within the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Working Capital, Liquidity and Capital Structure</w:t>
      </w:r>
    </w:p>
    <w:p>
      <w:pPr>
        <w:pStyle w:val="TextBody"/>
        <w:bidi w:val="0"/>
        <w:spacing w:lineRule="auto" w:line="268" w:before="120" w:after="283"/>
        <w:jc w:val="left"/>
        <w:rPr>
          <w:rFonts w:ascii="Arial;sans-serif" w:hAnsi="Arial;sans-serif"/>
          <w:b/>
          <w:i/>
          <w:color w:val="000000"/>
          <w:sz w:val="20"/>
        </w:rPr>
      </w:pPr>
      <w:r>
        <w:rPr>
          <w:rFonts w:ascii="Arial;sans-serif" w:hAnsi="Arial;sans-serif"/>
          <w:b/>
          <w:i/>
          <w:color w:val="000000"/>
          <w:sz w:val="20"/>
        </w:rPr>
        <w:t>Cash Flow Summary</w:t>
      </w:r>
    </w:p>
    <w:tbl>
      <w:tblPr>
        <w:tblW w:w="7498" w:type="dxa"/>
        <w:jc w:val="left"/>
        <w:tblInd w:w="0" w:type="dxa"/>
        <w:tblLayout w:type="fixed"/>
        <w:tblCellMar>
          <w:top w:w="28" w:type="dxa"/>
          <w:left w:w="28" w:type="dxa"/>
          <w:bottom w:w="28" w:type="dxa"/>
          <w:right w:w="28" w:type="dxa"/>
        </w:tblCellMar>
      </w:tblPr>
      <w:tblGrid>
        <w:gridCol w:w="1882"/>
        <w:gridCol w:w="1659"/>
        <w:gridCol w:w="1663"/>
        <w:gridCol w:w="215"/>
        <w:gridCol w:w="752"/>
        <w:gridCol w:w="111"/>
        <w:gridCol w:w="215"/>
        <w:gridCol w:w="844"/>
        <w:gridCol w:w="157"/>
      </w:tblGrid>
      <w:tr>
        <w:trPr/>
        <w:tc>
          <w:tcPr>
            <w:tcW w:w="188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33,153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34,147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working capital (a)</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(53,360)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liabilities and deferred taxes</w:t>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2,467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items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(13,415)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2,992</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34,833 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(19,522)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(19,200)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in cash and cash equivalents</w:t>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(35,001)</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(8,594)</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112,350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77,349</w:t>
            </w:r>
            <w:r>
              <w:rPr>
                <w:color w:val="000000"/>
              </w:rPr>
              <w:t>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106,689 </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(a)Includes Accounts receivable, Contract assets, Inventories, Accounts payable, and Accrued liabilities.</w:t>
      </w:r>
    </w:p>
    <w:p>
      <w:pPr>
        <w:pStyle w:val="TextBody"/>
        <w:bidi w:val="0"/>
        <w:spacing w:before="0" w:after="0"/>
        <w:ind w:left="0" w:right="0" w:hanging="3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during the six months ended June 30, 2026 was $3.0 million, compared to $34.8 million in the six months ended June 30, 2025. The decrease was driven by lower cash generated by working capital primarily related to inventory growth in connection with seasonal activity levels in MC and customer demand in AEC.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cash used in investing activities included capital expenditures totaling $21.2 million and $30.5 million for the six months ended June 30, 2026 and June 30, 2025, respectively, with continued growth capital and capital designed to improve operating efficiencies across the Company.</w:t>
      </w:r>
    </w:p>
    <w:p>
      <w:pPr>
        <w:pStyle w:val="TextBody"/>
        <w:bidi w:val="0"/>
        <w:spacing w:lineRule="auto" w:line="288" w:before="120" w:after="283"/>
        <w:jc w:val="both"/>
        <w:rPr/>
      </w:pPr>
      <w:r>
        <w:rPr>
          <w:rFonts w:ascii="Arial;sans-serif" w:hAnsi="Arial;sans-serif"/>
          <w:b w:val="false"/>
          <w:color w:val="000000"/>
          <w:sz w:val="20"/>
        </w:rPr>
        <w:t>Net cash used in financing activities was $19.2 million</w:t>
      </w:r>
      <w:r>
        <w:rPr>
          <w:color w:val="000000"/>
        </w:rPr>
        <w:t xml:space="preserve"> </w:t>
      </w:r>
      <w:r>
        <w:rPr>
          <w:rFonts w:ascii="Arial;sans-serif" w:hAnsi="Arial;sans-serif"/>
          <w:b w:val="false"/>
          <w:color w:val="000000"/>
          <w:sz w:val="20"/>
        </w:rPr>
        <w:t>for the six months ended June 30, 2026 as compared to net cash used of $24.5 million for the six months ended June 30, 2025. During 2026, we had net repayments of debt of $2.0 million as compared to $113.9 million of borrowings in the prior year, which were offset by share repurchases of $120.4 million. Additionally, the Company has returned cash to shareholders through dividends of $15.9 million in the first six months of 2026, a $0.8 million improvement in cash flow as compared to prior year.</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Liquidity and Capital Structure</w:t>
      </w:r>
    </w:p>
    <w:p>
      <w:pPr>
        <w:pStyle w:val="TextBody"/>
        <w:bidi w:val="0"/>
        <w:spacing w:lineRule="auto" w:line="288" w:before="120" w:after="283"/>
        <w:jc w:val="both"/>
        <w:rPr/>
      </w:pPr>
      <w:r>
        <w:rPr>
          <w:rFonts w:ascii="Arial;sans-serif" w:hAnsi="Arial;sans-serif"/>
          <w:b w:val="false"/>
          <w:color w:val="000000"/>
          <w:sz w:val="20"/>
        </w:rPr>
        <w:t>We finance our business activities principally with cash generated from operations and borrowings, largely through our revolving credit agreement as discussed below. As of June 30, 2026, $450.7 million</w:t>
      </w:r>
      <w:r>
        <w:rPr>
          <w:color w:val="000000"/>
        </w:rPr>
        <w:t xml:space="preserve"> </w:t>
      </w:r>
      <w:r>
        <w:rPr>
          <w:rFonts w:ascii="Arial;sans-serif" w:hAnsi="Arial;sans-serif"/>
          <w:b w:val="false"/>
          <w:color w:val="000000"/>
          <w:sz w:val="20"/>
        </w:rPr>
        <w:t xml:space="preserve">of borrowings were outstanding under our $800 million unsecured committed Amended Credit Agreement. </w:t>
      </w:r>
    </w:p>
    <w:p>
      <w:pPr>
        <w:pStyle w:val="TextBody"/>
        <w:bidi w:val="0"/>
        <w:spacing w:lineRule="auto" w:line="288" w:before="120" w:after="283"/>
        <w:jc w:val="both"/>
        <w:rPr/>
      </w:pPr>
      <w:r>
        <w:rPr>
          <w:rFonts w:ascii="Arial;sans-serif" w:hAnsi="Arial;sans-serif"/>
          <w:b w:val="false"/>
          <w:color w:val="000000"/>
          <w:sz w:val="20"/>
        </w:rPr>
        <w:t>As of June 30, 2026, we had cash and cash equivalents of $77.3 million</w:t>
      </w:r>
      <w:r>
        <w:rPr>
          <w:color w:val="000000"/>
        </w:rPr>
        <w:t xml:space="preserve"> </w:t>
      </w:r>
      <w:r>
        <w:rPr>
          <w:rFonts w:ascii="Arial;sans-serif" w:hAnsi="Arial;sans-serif"/>
          <w:b w:val="false"/>
          <w:color w:val="000000"/>
          <w:sz w:val="20"/>
        </w:rPr>
        <w:t xml:space="preserve">and borrowing capacity under our Amended Credit Agreement of $349.3 million, for a total liquidity of approximately $426.7 million. We believe cash flows from operations and the availability of funds under our Amended Credit Agreement will be adequate to fund our operations and business needs over the next twelve months. </w:t>
      </w:r>
    </w:p>
    <w:p>
      <w:pPr>
        <w:pStyle w:val="TextBody"/>
        <w:bidi w:val="0"/>
        <w:spacing w:lineRule="auto" w:line="288" w:before="120" w:after="283"/>
        <w:jc w:val="both"/>
        <w:rPr/>
      </w:pPr>
      <w:r>
        <w:rPr>
          <w:rFonts w:ascii="Arial;sans-serif" w:hAnsi="Arial;sans-serif"/>
          <w:b w:val="false"/>
          <w:color w:val="000000"/>
          <w:sz w:val="20"/>
        </w:rPr>
        <w:t>As of June 30, 2026, $68.2 million of our total cash and cash equivalents were held by non-U.S. subsidiaries.</w:t>
      </w:r>
      <w:r>
        <w:rPr>
          <w:color w:val="000000"/>
          <w:shd w:fill="FFFFFF" w:val="clear"/>
        </w:rPr>
        <w:t xml:space="preserve"> </w:t>
      </w:r>
      <w:r>
        <w:rPr>
          <w:rFonts w:ascii="Arial;sans-serif" w:hAnsi="Arial;sans-serif"/>
          <w:b w:val="false"/>
          <w:color w:val="000000"/>
          <w:sz w:val="20"/>
          <w:shd w:fill="FFFFFF" w:val="clear"/>
        </w:rPr>
        <w:t xml:space="preserve">The accumulated undistributed earnings of the Company’s foreign operations not targeted for repatriation to the U.S. were in excess of </w:t>
      </w:r>
      <w:r>
        <w:rPr>
          <w:rFonts w:ascii="Arial;sans-serif" w:hAnsi="Arial;sans-serif"/>
          <w:b w:val="false"/>
          <w:color w:val="000000"/>
          <w:sz w:val="20"/>
        </w:rPr>
        <w:t xml:space="preserve">$156.1 million, </w:t>
      </w:r>
      <w:r>
        <w:rPr>
          <w:rFonts w:ascii="Arial;sans-serif" w:hAnsi="Arial;sans-serif"/>
          <w:b w:val="false"/>
          <w:color w:val="000000"/>
          <w:sz w:val="20"/>
          <w:shd w:fill="FFFFFF" w:val="clear"/>
        </w:rPr>
        <w:t>as of June 30, 2026 and are intended to remain indefinitely invested in foreign operations. Our cash planning strategy</w:t>
      </w:r>
      <w:r>
        <w:rPr>
          <w:color w:val="000000"/>
        </w:rPr>
        <w:t xml:space="preserve"> </w:t>
      </w:r>
      <w:r>
        <w:rPr>
          <w:rFonts w:ascii="Arial;sans-serif" w:hAnsi="Arial;sans-serif"/>
          <w:b w:val="false"/>
          <w:color w:val="000000"/>
          <w:sz w:val="20"/>
        </w:rPr>
        <w:t>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 xml:space="preserve">The Company is party to certain off-balance sheet arrangements, including certain guarantees. The Company provides financial assurance, such as payment guarantees and letters of credit and surety bonds, primarily to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workers’ compensation programs and customs clearance, of less than $10 million. There were no material changes in the Company’s off-balance sheet arrangements during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Item 3.</w:t>
      </w:r>
      <w:r>
        <w:rPr>
          <w:color w:val="000000"/>
          <w:shd w:fill="FFFFFF" w:val="clear"/>
        </w:rPr>
        <w:t xml:space="preserve"> </w:t>
      </w:r>
      <w:r>
        <w:rPr>
          <w:rFonts w:ascii="Arial;sans-serif" w:hAnsi="Arial;sans-serif"/>
          <w:b/>
          <w:color w:val="000000"/>
          <w:sz w:val="20"/>
          <w:shd w:fill="FFFFFF" w:val="clear"/>
        </w:rPr>
        <w:t>Quantitative and Qualitative Disclosures about Market Risk</w:t>
      </w:r>
    </w:p>
    <w:p>
      <w:pPr>
        <w:pStyle w:val="TextBody"/>
        <w:bidi w:val="0"/>
        <w:spacing w:lineRule="auto" w:line="288" w:before="120" w:after="283"/>
        <w:jc w:val="both"/>
        <w:rPr/>
      </w:pPr>
      <w:r>
        <w:rPr>
          <w:rFonts w:ascii="Arial;sans-serif" w:hAnsi="Arial;sans-serif"/>
          <w:b w:val="false"/>
          <w:color w:val="000000"/>
          <w:sz w:val="20"/>
          <w:shd w:fill="FFFFFF" w:val="clear"/>
        </w:rPr>
        <w:t>We are exposed to changes in both foreign currency exchange rates and interest rates. From time to time, the Company enters into derivative agreements to manage these risks.</w:t>
      </w:r>
      <w:r>
        <w:rPr>
          <w:color w:val="000000"/>
        </w:rPr>
        <w:t xml:space="preserve"> </w:t>
      </w:r>
      <w:r>
        <w:rPr>
          <w:rFonts w:ascii="Arial;sans-serif" w:hAnsi="Arial;sans-serif"/>
          <w:b w:val="false"/>
          <w:color w:val="000000"/>
          <w:sz w:val="20"/>
        </w:rPr>
        <w:t>The market risk is the potential loss arising from adverse changes in these rates as discussed below.</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Foreign Currency Exchange Rate Risk</w:t>
      </w:r>
    </w:p>
    <w:p>
      <w:pPr>
        <w:pStyle w:val="TextBody"/>
        <w:bidi w:val="0"/>
        <w:spacing w:lineRule="auto" w:line="288" w:before="120" w:after="283"/>
        <w:jc w:val="both"/>
        <w:rPr/>
      </w:pPr>
      <w:r>
        <w:rPr>
          <w:rFonts w:ascii="Arial;sans-serif" w:hAnsi="Arial;sans-serif"/>
          <w:b w:val="false"/>
          <w:color w:val="000000"/>
          <w:sz w:val="20"/>
        </w:rPr>
        <w:t xml:space="preserve">We have manufacturing plants and sales transactions worldwide and, therefore, are subject to foreign currency risk. </w:t>
      </w:r>
      <w:r>
        <w:rPr>
          <w:rFonts w:ascii="Arial;sans-serif" w:hAnsi="Arial;sans-serif"/>
          <w:b w:val="false"/>
          <w:color w:val="000000"/>
          <w:sz w:val="20"/>
          <w:shd w:fill="FFFFFF" w:val="clear"/>
        </w:rPr>
        <w:t>Our operational results can be materially impacted depending on the volatility and magnitude of foreign rate changes.</w:t>
      </w:r>
      <w:r>
        <w:rPr>
          <w:color w:val="000000"/>
        </w:rPr>
        <w:t xml:space="preserve"> </w:t>
      </w:r>
      <w:r>
        <w:rPr>
          <w:rFonts w:ascii="Arial;sans-serif" w:hAnsi="Arial;sans-serif"/>
          <w:b w:val="false"/>
          <w:color w:val="000000"/>
          <w:sz w:val="20"/>
        </w:rPr>
        <w:t>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w:t>
      </w:r>
      <w:r>
        <w:rPr>
          <w:rFonts w:ascii="Arial;sans-serif" w:hAnsi="Arial;sans-serif"/>
          <w:b w:val="false"/>
          <w:color w:val="000000"/>
          <w:sz w:val="20"/>
          <w:shd w:fill="FFFFFF" w:val="clear"/>
        </w:rPr>
        <w:t>ly</w:t>
      </w:r>
      <w:r>
        <w:rPr>
          <w:color w:val="000000"/>
        </w:rPr>
        <w:t xml:space="preserve"> </w:t>
      </w:r>
      <w:r>
        <w:rPr>
          <w:rFonts w:ascii="Arial;sans-serif" w:hAnsi="Arial;sans-serif"/>
          <w:b w:val="false"/>
          <w:color w:val="000000"/>
          <w:sz w:val="20"/>
        </w:rPr>
        <w:t>$640.4 million. The potential loss in fair value resulting from a hypothetical 10% adverse change in quoted foreign currency exchange rates amounts to $64.0 million. Furthermore, related to foreign currency transactions, we have exposure to various nonfunctional currency balances totaling $270.3 million. This amount includes, on an absolute basis, exposures to assets and liabilities held in currencies other than our local entities’ functional currencies. On a net basis, we had $186.6 million of foreign currency assets as of June 30, 2026. As currency rates change, these nonfunctional currency balances are revalued, and the corresponding adjustment is recorded in the income statement. A hypothetical change of 10% in currency rates could result in an adjustment to the income statement of approximately $18.7 million. Ac</w:t>
      </w:r>
      <w:r>
        <w:rPr>
          <w:rFonts w:ascii="Arial;sans-serif" w:hAnsi="Arial;sans-serif"/>
          <w:b w:val="false"/>
          <w:color w:val="000000"/>
          <w:sz w:val="20"/>
          <w:shd w:fill="FFFFFF" w:val="clear"/>
        </w:rPr>
        <w:t>tual results ma</w:t>
      </w:r>
      <w:r>
        <w:rPr>
          <w:rFonts w:ascii="Arial;sans-serif" w:hAnsi="Arial;sans-serif"/>
          <w:b w:val="false"/>
          <w:color w:val="000000"/>
          <w:sz w:val="20"/>
        </w:rPr>
        <w:t>y differ from these estimates.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exposed to interest rate fluctuations with respect to our variable rate debt, depending on general economic conditions.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30, 2026, we had the following unhedged variable rate debt:</w:t>
      </w:r>
    </w:p>
    <w:p>
      <w:pPr>
        <w:pStyle w:val="TextBody"/>
        <w:bidi w:val="0"/>
        <w:spacing w:before="0" w:after="0"/>
        <w:jc w:val="both"/>
        <w:rPr/>
      </w:pPr>
      <w:r>
        <w:rPr/>
      </w:r>
    </w:p>
    <w:tbl>
      <w:tblPr>
        <w:tblW w:w="7294" w:type="dxa"/>
        <w:jc w:val="left"/>
        <w:tblInd w:w="0" w:type="dxa"/>
        <w:tblLayout w:type="fixed"/>
        <w:tblCellMar>
          <w:top w:w="28" w:type="dxa"/>
          <w:left w:w="28" w:type="dxa"/>
          <w:bottom w:w="28" w:type="dxa"/>
          <w:right w:w="28" w:type="dxa"/>
        </w:tblCellMar>
      </w:tblPr>
      <w:tblGrid>
        <w:gridCol w:w="1786"/>
        <w:gridCol w:w="1572"/>
        <w:gridCol w:w="1576"/>
        <w:gridCol w:w="413"/>
        <w:gridCol w:w="1646"/>
        <w:gridCol w:w="301"/>
      </w:tblGrid>
      <w:tr>
        <w:trPr/>
        <w:tc>
          <w:tcPr>
            <w:tcW w:w="178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2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interest rates)</w:t>
            </w:r>
          </w:p>
        </w:tc>
      </w:tr>
      <w:tr>
        <w:trPr/>
        <w:tc>
          <w:tcPr>
            <w:tcW w:w="4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Credit agreement borrowings outstanding (due in 2028):</w:t>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USD borrowings (end of period all-in interest rate of 5.4%)</w:t>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223,000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EUR borrowings (end of period all-in interest rate of 3.8%)</w:t>
            </w:r>
          </w:p>
        </w:tc>
        <w:tc>
          <w:tcPr>
            <w:tcW w:w="20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51,335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Foreign bank debt</w:t>
            </w:r>
          </w:p>
        </w:tc>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w:t>
            </w:r>
          </w:p>
        </w:tc>
      </w:tr>
      <w:tr>
        <w:trPr/>
        <w:tc>
          <w:tcPr>
            <w:tcW w:w="4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4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274,335</w:t>
            </w:r>
            <w:r>
              <w:rPr>
                <w:color w:val="000000"/>
              </w:rPr>
              <w:t> </w:t>
            </w:r>
          </w:p>
        </w:tc>
        <w:tc>
          <w:tcPr>
            <w:tcW w:w="3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Assuming borrowings were outstanding for an entire year, an increase of one percentage point in weighted average interest rates would increase interest expense by $2.7 million. To manage interest rate risk, we may periodically enter into interest rate swap agreements to effectively fix the interest rates on variable debt to a specific rate for a period of time.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April 15, 2026, the Company entered into USD and EUR forward starting interest rate swap agreements with starting dates of November 15, 2026 and November 14, 2026, respectively, and both with three-year terms. These instruments are intended to replace the Company's existing interest rate swap agreements upon their maturity on those same dates and are entered into for the purpose of managing the Company's exposure to variability in cash flows attributable to changes in benchmark interest rates. Changes in fair value during the forward period, from the trade date through the respective starting dates, will be recorded in other comprehensive income (loss).</w:t>
      </w:r>
    </w:p>
    <w:p>
      <w:pPr>
        <w:pStyle w:val="TextBody"/>
        <w:bidi w:val="0"/>
        <w:spacing w:lineRule="auto" w:line="288" w:before="120" w:after="283"/>
        <w:jc w:val="both"/>
        <w:rPr/>
      </w:pPr>
      <w:r>
        <w:rPr>
          <w:rFonts w:ascii="Arial;sans-serif" w:hAnsi="Arial;sans-serif"/>
          <w:b w:val="false"/>
          <w:color w:val="000000"/>
          <w:sz w:val="20"/>
        </w:rPr>
        <w:t xml:space="preserve">See </w:t>
      </w:r>
      <w:r>
        <w:rPr>
          <w:rFonts w:ascii="Arial;sans-serif" w:hAnsi="Arial;sans-serif"/>
          <w:b w:val="false"/>
          <w:i/>
          <w:color w:val="000000"/>
          <w:sz w:val="20"/>
        </w:rPr>
        <w:t>Note</w:t>
      </w:r>
      <w:r>
        <w:rPr>
          <w:color w:val="000000"/>
        </w:rPr>
        <w:t xml:space="preserve"> </w:t>
      </w:r>
      <w:r>
        <w:rPr>
          <w:rFonts w:ascii="Arial;sans-serif" w:hAnsi="Arial;sans-serif"/>
          <w:b w:val="false"/>
          <w:i/>
          <w:color w:val="000000"/>
          <w:sz w:val="20"/>
        </w:rPr>
        <w:t>15. Financial Instruments</w:t>
      </w:r>
      <w:r>
        <w:rPr>
          <w:color w:val="000000"/>
        </w:rPr>
        <w:t xml:space="preserve"> </w:t>
      </w:r>
      <w:r>
        <w:rPr>
          <w:rFonts w:ascii="Arial;sans-serif" w:hAnsi="Arial;sans-serif"/>
          <w:b w:val="false"/>
          <w:color w:val="000000"/>
          <w:sz w:val="20"/>
        </w:rPr>
        <w:t>in the Notes to the Consolidated Financial Statements in Item 1,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Changes in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both"/>
        <w:rPr/>
      </w:pPr>
      <w:r>
        <w:rPr>
          <w:rFonts w:ascii="Arial;sans-serif" w:hAnsi="Arial;sans-serif"/>
          <w:b w:val="false"/>
          <w:color w:val="000000"/>
          <w:sz w:val="20"/>
        </w:rPr>
        <w:t xml:space="preserve">The information set forth above under </w:t>
      </w:r>
      <w:r>
        <w:rPr>
          <w:rFonts w:ascii="Arial;sans-serif" w:hAnsi="Arial;sans-serif"/>
          <w:b w:val="false"/>
          <w:i/>
          <w:color w:val="000000"/>
          <w:sz w:val="20"/>
        </w:rPr>
        <w:t>Note 17.</w:t>
      </w:r>
      <w:r>
        <w:rPr>
          <w:color w:val="000000"/>
        </w:rPr>
        <w:t xml:space="preserve">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in Item 1, Notes to Consolidated Financial Statements is incorporated herein by reference.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from the risk factors previously disclosed in our Annual Report on Form 10-K for the year ended December 31, 2025.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Issuer Purchases of Equity Securities during the three months ended June 30, 2026</w:t>
      </w:r>
    </w:p>
    <w:tbl>
      <w:tblPr>
        <w:tblW w:w="10205" w:type="dxa"/>
        <w:jc w:val="left"/>
        <w:tblInd w:w="0" w:type="dxa"/>
        <w:tblLayout w:type="fixed"/>
        <w:tblCellMar>
          <w:top w:w="28" w:type="dxa"/>
          <w:left w:w="28" w:type="dxa"/>
          <w:bottom w:w="28" w:type="dxa"/>
          <w:right w:w="28" w:type="dxa"/>
        </w:tblCellMar>
      </w:tblPr>
      <w:tblGrid>
        <w:gridCol w:w="415"/>
        <w:gridCol w:w="364"/>
        <w:gridCol w:w="367"/>
        <w:gridCol w:w="543"/>
        <w:gridCol w:w="543"/>
        <w:gridCol w:w="545"/>
        <w:gridCol w:w="456"/>
        <w:gridCol w:w="456"/>
        <w:gridCol w:w="457"/>
        <w:gridCol w:w="918"/>
        <w:gridCol w:w="918"/>
        <w:gridCol w:w="921"/>
        <w:gridCol w:w="640"/>
        <w:gridCol w:w="2187"/>
        <w:gridCol w:w="475"/>
      </w:tblGrid>
      <w:tr>
        <w:trPr/>
        <w:tc>
          <w:tcPr>
            <w:tcW w:w="4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Period</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 number of shares purchased</w:t>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Average price paid per share</w:t>
            </w:r>
          </w:p>
        </w:tc>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 number of shares purchased as part of publicly announced program</w:t>
            </w:r>
          </w:p>
        </w:tc>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Approx. dollar value of shares that may yet be purchased under the program (in thousands)</w:t>
            </w:r>
          </w:p>
        </w:tc>
      </w:tr>
      <w:tr>
        <w:trPr/>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to April 30, 2026</w:t>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76,655 </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to May 31, 2026</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76,655 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to June 30, 2026</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76,655</w:t>
            </w: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2757" w:type="dxa"/>
            <w:gridSpan w:val="3"/>
            <w:tcBorders/>
            <w:vAlign w:val="center"/>
          </w:tcPr>
          <w:p>
            <w:pPr>
              <w:pStyle w:val="TableContents"/>
              <w:bidi w:val="0"/>
              <w:spacing w:before="0" w:after="283"/>
              <w:jc w:val="left"/>
              <w:rPr>
                <w:sz w:val="4"/>
                <w:szCs w:val="4"/>
              </w:rPr>
            </w:pPr>
            <w:r>
              <w:rPr>
                <w:sz w:val="4"/>
                <w:szCs w:val="4"/>
              </w:rPr>
            </w:r>
          </w:p>
        </w:tc>
        <w:tc>
          <w:tcPr>
            <w:tcW w:w="3302" w:type="dxa"/>
            <w:gridSpan w:val="3"/>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8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2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8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76,655 </w:t>
            </w:r>
          </w:p>
        </w:tc>
        <w:tc>
          <w:tcPr>
            <w:tcW w:w="47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February 21, 2025, the Company's Board of Directors authorized the Company to repurchase shares up to $250 million (excluding any fees, commissions, taxes or other expenses related to such purchases), which replaces the 2021 authorization. Share purchases may be made through open market purchases, privately negotiated transactions or otherwise. The program does not obligate the Company to acquire any particular amount of common stock, and it may be suspended or terminated at any time at the Company's discretion. The timing and amount of any share repurchases will be based on the Company’s liquidity, general business and market conditions, debt covenant restrictions and other factors, including alternative investment opportunities and capital structure. The Company has not repurchased shares in 2026. As of June 30, 2026, we were authorized to repurchase shares up to $76.7 million.</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40" w:after="283"/>
        <w:jc w:val="left"/>
        <w:rPr>
          <w:rFonts w:ascii="Arial;sans-serif" w:hAnsi="Arial;sans-serif"/>
          <w:b w:val="false"/>
          <w:i/>
          <w:color w:val="000000"/>
          <w:sz w:val="20"/>
        </w:rPr>
      </w:pPr>
      <w:r>
        <w:rPr>
          <w:rFonts w:ascii="Arial;sans-serif" w:hAnsi="Arial;sans-serif"/>
          <w:b w:val="false"/>
          <w:i/>
          <w:color w:val="000000"/>
          <w:sz w:val="20"/>
        </w:rPr>
        <w:t>Securities Trading Plans of Directors and Executive Officers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six months ended June 30, 2026,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1"/>
        <w:gridCol w:w="282"/>
        <w:gridCol w:w="283"/>
        <w:gridCol w:w="2808"/>
        <w:gridCol w:w="2686"/>
        <w:gridCol w:w="3825"/>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319"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60630xex311.htm">
              <w:r>
                <w:rPr>
                  <w:rStyle w:val="InternetLink"/>
                  <w:rFonts w:ascii="Arial;sans-serif" w:hAnsi="Arial;sans-serif"/>
                  <w:b w:val="false"/>
                  <w:color w:val="0000FF"/>
                  <w:sz w:val="18"/>
                  <w:u w:val="single"/>
                </w:rPr>
                <w:t>Certification of the Chief Executive Officer pursuant to Rule 13a-14(a)/15d-14(a) of the Exchange Act.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in-20260630xex312.htm">
              <w:r>
                <w:rPr>
                  <w:rStyle w:val="InternetLink"/>
                  <w:rFonts w:ascii="Arial;sans-serif" w:hAnsi="Arial;sans-serif"/>
                  <w:b w:val="false"/>
                  <w:color w:val="0000FF"/>
                  <w:sz w:val="18"/>
                  <w:u w:val="single"/>
                </w:rPr>
                <w:t>Certification of the Chief Financial Officer pursuant to Rule 13a-14(a)/15d-14(a) of the Exchange Act.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60630xex321.htm">
              <w:r>
                <w:rPr>
                  <w:rStyle w:val="InternetLink"/>
                  <w:rFonts w:ascii="Arial;sans-serif" w:hAnsi="Arial;sans-serif"/>
                  <w:b w:val="false"/>
                  <w:color w:val="0000FF"/>
                  <w:sz w:val="18"/>
                  <w:u w:val="single"/>
                </w:rPr>
                <w:t>Certification pursuant to Section 906 of the Sarbanes-Oxley Act of 2002 (Subsections (a) and (b) of Section 1350, Chapter 63 of Title 18, United States Code).</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the instance document does not appear in the Interactive Data File because its XBRL tags are embedded within the Inline XBRL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220"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1188"/>
        <w:gridCol w:w="1188"/>
        <w:gridCol w:w="1688"/>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ALBANY INTERNATIONAL CORP.</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(Registrant)</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August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Willard C. Station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Willard C. Station</w:t>
              <w:br/>
              <w:t>Executive Vice President,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Gunnar Kleveland,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745" w:type="dxa"/>
        <w:jc w:val="left"/>
        <w:tblInd w:w="0" w:type="dxa"/>
        <w:tblLayout w:type="fixed"/>
        <w:tblCellMar>
          <w:top w:w="28" w:type="dxa"/>
          <w:left w:w="28" w:type="dxa"/>
          <w:bottom w:w="28" w:type="dxa"/>
          <w:right w:w="28" w:type="dxa"/>
        </w:tblCellMar>
      </w:tblPr>
      <w:tblGrid>
        <w:gridCol w:w="711"/>
        <w:gridCol w:w="624"/>
        <w:gridCol w:w="630"/>
        <w:gridCol w:w="115"/>
        <w:gridCol w:w="115"/>
        <w:gridCol w:w="116"/>
        <w:gridCol w:w="1003"/>
        <w:gridCol w:w="1003"/>
        <w:gridCol w:w="1428"/>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4, 2026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Willard Station,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720" w:type="dxa"/>
        <w:jc w:val="left"/>
        <w:tblInd w:w="0" w:type="dxa"/>
        <w:tblLayout w:type="fixed"/>
        <w:tblCellMar>
          <w:top w:w="28" w:type="dxa"/>
          <w:left w:w="28" w:type="dxa"/>
          <w:bottom w:w="28" w:type="dxa"/>
          <w:right w:w="28" w:type="dxa"/>
        </w:tblCellMar>
      </w:tblPr>
      <w:tblGrid>
        <w:gridCol w:w="711"/>
        <w:gridCol w:w="624"/>
        <w:gridCol w:w="630"/>
        <w:gridCol w:w="115"/>
        <w:gridCol w:w="115"/>
        <w:gridCol w:w="116"/>
        <w:gridCol w:w="1288"/>
        <w:gridCol w:w="1288"/>
        <w:gridCol w:w="183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4, 2026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Willard Station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Willard Station</w:t>
              <w:br/>
              <w:t>Executive Vice President,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of Albany International Corp. (the Company) on Form 10-Q for the period ending June 30, 2026, as filed with the Securities and Exchange Commission on the date hereof (the Report), Gunnar Kleveland, President and Chief Executive Officer, and Willard Station, Chief Financial Officer, Executive Vice President, certify, pursuant to 18 U.S.C. § 1350, as adopted pursuant to § 906 of the Sarbanes-Oxley Act of 2002,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and Exchange Act of 1934;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761" w:type="dxa"/>
        <w:jc w:val="center"/>
        <w:tblInd w:w="0" w:type="dxa"/>
        <w:tblLayout w:type="fixed"/>
        <w:tblCellMar>
          <w:top w:w="28" w:type="dxa"/>
          <w:left w:w="28" w:type="dxa"/>
          <w:bottom w:w="28" w:type="dxa"/>
          <w:right w:w="28" w:type="dxa"/>
        </w:tblCellMar>
      </w:tblPr>
      <w:tblGrid>
        <w:gridCol w:w="711"/>
        <w:gridCol w:w="624"/>
        <w:gridCol w:w="630"/>
        <w:gridCol w:w="109"/>
        <w:gridCol w:w="109"/>
        <w:gridCol w:w="109"/>
        <w:gridCol w:w="1305"/>
        <w:gridCol w:w="1305"/>
        <w:gridCol w:w="185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Willard Station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20"/>
              </w:rPr>
            </w:pPr>
            <w:r>
              <w:rPr>
                <w:rFonts w:ascii="Arial;sans-serif" w:hAnsi="Arial;sans-serif"/>
                <w:b w:val="false"/>
                <w:color w:val="000000"/>
                <w:sz w:val="20"/>
              </w:rPr>
              <w:t>Willard Station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Executive Vice President, Chief Financial Officer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Book Antiqu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18721</Words>
  <Characters>104829</Characters>
  <CharactersWithSpaces>121893</CharactersWithSpaces>
  <Paragraphs>3372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