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August 4,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tbl>
      <w:tblPr>
        <w:tblW w:w="5918" w:type="dxa"/>
        <w:jc w:val="left"/>
        <w:tblInd w:w="0" w:type="dxa"/>
        <w:tblLayout w:type="fixed"/>
        <w:tblCellMar>
          <w:top w:w="28" w:type="dxa"/>
          <w:left w:w="28" w:type="dxa"/>
          <w:bottom w:w="28" w:type="dxa"/>
          <w:right w:w="28" w:type="dxa"/>
        </w:tblCellMar>
      </w:tblPr>
      <w:tblGrid>
        <w:gridCol w:w="124"/>
        <w:gridCol w:w="109"/>
        <w:gridCol w:w="109"/>
        <w:gridCol w:w="1734"/>
        <w:gridCol w:w="1734"/>
        <w:gridCol w:w="17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ALBANY INTERNATIONAL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1-10026</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14-0462060</w:t>
            </w:r>
          </w:p>
        </w:tc>
      </w:tr>
      <w:tr>
        <w:trPr/>
        <w:tc>
          <w:tcPr>
            <w:tcW w:w="2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399" w:type="dxa"/>
        <w:jc w:val="left"/>
        <w:tblInd w:w="0" w:type="dxa"/>
        <w:tblLayout w:type="fixed"/>
        <w:tblCellMar>
          <w:top w:w="28" w:type="dxa"/>
          <w:left w:w="28" w:type="dxa"/>
          <w:bottom w:w="28" w:type="dxa"/>
          <w:right w:w="28" w:type="dxa"/>
        </w:tblCellMar>
      </w:tblPr>
      <w:tblGrid>
        <w:gridCol w:w="1582"/>
        <w:gridCol w:w="1389"/>
        <w:gridCol w:w="1393"/>
        <w:gridCol w:w="303"/>
        <w:gridCol w:w="303"/>
        <w:gridCol w:w="429"/>
      </w:tblGrid>
      <w:tr>
        <w:trPr/>
        <w:tc>
          <w:tcPr>
            <w:tcW w:w="15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325 Corporate Drive Portsmouth, New Hampshire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03801</w:t>
            </w:r>
          </w:p>
        </w:tc>
      </w:tr>
      <w:tr>
        <w:trPr/>
        <w:tc>
          <w:tcPr>
            <w:tcW w:w="43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603-330-5800</w:t>
      </w:r>
    </w:p>
    <w:tbl>
      <w:tblPr>
        <w:tblW w:w="5069" w:type="dxa"/>
        <w:jc w:val="left"/>
        <w:tblInd w:w="0" w:type="dxa"/>
        <w:tblLayout w:type="fixed"/>
        <w:tblCellMar>
          <w:top w:w="28" w:type="dxa"/>
          <w:left w:w="28" w:type="dxa"/>
          <w:bottom w:w="28" w:type="dxa"/>
          <w:right w:w="28" w:type="dxa"/>
        </w:tblCellMar>
      </w:tblPr>
      <w:tblGrid>
        <w:gridCol w:w="1617"/>
        <w:gridCol w:w="1421"/>
        <w:gridCol w:w="2031"/>
      </w:tblGrid>
      <w:tr>
        <w:trPr/>
        <w:tc>
          <w:tcPr>
            <w:tcW w:w="16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0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01" w:type="dxa"/>
        <w:jc w:val="left"/>
        <w:tblInd w:w="0" w:type="dxa"/>
        <w:tblLayout w:type="fixed"/>
        <w:tblCellMar>
          <w:top w:w="28" w:type="dxa"/>
          <w:left w:w="28" w:type="dxa"/>
          <w:bottom w:w="28" w:type="dxa"/>
          <w:right w:w="28" w:type="dxa"/>
        </w:tblCellMar>
      </w:tblPr>
      <w:tblGrid>
        <w:gridCol w:w="1539"/>
        <w:gridCol w:w="1352"/>
        <w:gridCol w:w="1368"/>
        <w:gridCol w:w="109"/>
        <w:gridCol w:w="109"/>
        <w:gridCol w:w="109"/>
        <w:gridCol w:w="314"/>
        <w:gridCol w:w="314"/>
        <w:gridCol w:w="316"/>
        <w:gridCol w:w="109"/>
        <w:gridCol w:w="109"/>
        <w:gridCol w:w="109"/>
        <w:gridCol w:w="977"/>
        <w:gridCol w:w="977"/>
        <w:gridCol w:w="1390"/>
      </w:tblGrid>
      <w:tr>
        <w:trPr/>
        <w:tc>
          <w:tcPr>
            <w:tcW w:w="153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4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 (NYSE)</w:t>
            </w:r>
          </w:p>
        </w:tc>
      </w:tr>
    </w:tbl>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1933 (230.405 of this chapter) or Rule 12b-2 of the Securities Exchange Act of 1934 (240.12b-2 of this chapter).</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Emerging growth company</w:t>
      </w:r>
    </w:p>
    <w:p>
      <w:pPr>
        <w:pStyle w:val="TextBody"/>
        <w:bidi w:val="0"/>
        <w:spacing w:lineRule="auto" w:line="288" w:before="200" w:after="283"/>
        <w:ind w:left="0" w:right="0" w:hanging="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20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4, 2026 Albany International issued a news release reporting second-quarter 2026 financial results. The Company will host a webcast to discuss earnings at 8:30 a.m. Eastern Time on Tuesday August 4, 2026. The news release is furnished as Exhibit 99.1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furnished herewith:</w:t>
      </w:r>
    </w:p>
    <w:p>
      <w:pPr>
        <w:pStyle w:val="TextBody"/>
        <w:bidi w:val="0"/>
        <w:spacing w:lineRule="auto" w:line="288" w:before="200" w:after="283"/>
        <w:ind w:left="0" w:right="0" w:hanging="1350"/>
        <w:jc w:val="left"/>
        <w:rPr>
          <w:rFonts w:ascii="Times New Roman;serif" w:hAnsi="Times New Roman;serif"/>
          <w:b w:val="false"/>
          <w:color w:val="000000"/>
          <w:sz w:val="20"/>
        </w:rPr>
      </w:pPr>
      <w:r>
        <w:rPr>
          <w:rFonts w:ascii="Times New Roman;serif" w:hAnsi="Times New Roman;serif"/>
          <w:b w:val="false"/>
          <w:color w:val="000000"/>
          <w:sz w:val="20"/>
        </w:rPr>
        <w:t>99.1    News release dated August 4, 2026 reporting second-quarter 2026 financial results.</w:t>
      </w:r>
    </w:p>
    <w:p>
      <w:pPr>
        <w:pStyle w:val="TextBody"/>
        <w:bidi w:val="0"/>
        <w:spacing w:before="0" w:after="0"/>
        <w:ind w:left="0" w:right="0" w:hanging="1350"/>
        <w:jc w:val="left"/>
        <w:rPr/>
      </w:pPr>
      <w:r>
        <w:rPr/>
      </w:r>
    </w:p>
    <w:p>
      <w:pPr>
        <w:pStyle w:val="TextBody"/>
        <w:bidi w:val="0"/>
        <w:spacing w:before="0" w:after="0"/>
        <w:ind w:left="0" w:right="0" w:hanging="13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18" w:type="dxa"/>
        <w:jc w:val="left"/>
        <w:tblInd w:w="0" w:type="dxa"/>
        <w:tblLayout w:type="fixed"/>
        <w:tblCellMar>
          <w:top w:w="28" w:type="dxa"/>
          <w:left w:w="28" w:type="dxa"/>
          <w:bottom w:w="28" w:type="dxa"/>
          <w:right w:w="28" w:type="dxa"/>
        </w:tblCellMar>
      </w:tblPr>
      <w:tblGrid>
        <w:gridCol w:w="124"/>
        <w:gridCol w:w="109"/>
        <w:gridCol w:w="109"/>
        <w:gridCol w:w="538"/>
        <w:gridCol w:w="538"/>
        <w:gridCol w:w="538"/>
        <w:gridCol w:w="1110"/>
        <w:gridCol w:w="1110"/>
        <w:gridCol w:w="1128"/>
        <w:gridCol w:w="209"/>
        <w:gridCol w:w="209"/>
        <w:gridCol w:w="2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30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ALBANY INTERNATIONAL CORP.</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Willard C. Station</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Willard C. Station</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(Principal Financial Officer)</w:t>
            </w:r>
          </w:p>
        </w:tc>
      </w:tr>
    </w:tbl>
    <w:p>
      <w:pPr>
        <w:pStyle w:val="TextBody"/>
        <w:bidi w:val="0"/>
        <w:spacing w:lineRule="auto" w:line="288" w:before="50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7935" w:type="dxa"/>
        <w:jc w:val="left"/>
        <w:tblInd w:w="0" w:type="dxa"/>
        <w:tblLayout w:type="fixed"/>
        <w:tblCellMar>
          <w:top w:w="28" w:type="dxa"/>
          <w:left w:w="28" w:type="dxa"/>
          <w:bottom w:w="28" w:type="dxa"/>
          <w:right w:w="28" w:type="dxa"/>
        </w:tblCellMar>
      </w:tblPr>
      <w:tblGrid>
        <w:gridCol w:w="391"/>
        <w:gridCol w:w="344"/>
        <w:gridCol w:w="345"/>
        <w:gridCol w:w="1999"/>
        <w:gridCol w:w="1999"/>
        <w:gridCol w:w="285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8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8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68f1cacdc6d42b0b5271f1e137248e9_19">
              <w:r>
                <w:rPr>
                  <w:rStyle w:val="InternetLink"/>
                  <w:rFonts w:ascii="Times New Roman;serif" w:hAnsi="Times New Roman;serif"/>
                  <w:b w:val="false"/>
                  <w:color w:val="0000FF"/>
                  <w:sz w:val="20"/>
                  <w:u w:val="single"/>
                </w:rPr>
                <w:t>News release dated August 4, 2026 reporting second-quarter 2026 financial results.</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cover page.</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center"/>
        <w:rPr/>
      </w:pPr>
      <w:r>
        <w:rPr/>
      </w:r>
    </w:p>
    <w:p>
      <w:pPr>
        <w:pStyle w:val="TextBody"/>
        <w:bidi w:val="0"/>
        <w:spacing w:before="200" w:after="283"/>
        <w:jc w:val="center"/>
        <w:rPr/>
      </w:pPr>
      <w:r>
        <w:rPr/>
        <w:drawing>
          <wp:inline distT="0" distB="0" distL="0" distR="0">
            <wp:extent cx="2667000" cy="952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67000" cy="952500"/>
                    </a:xfrm>
                    <a:prstGeom prst="rect">
                      <a:avLst/>
                    </a:prstGeom>
                  </pic:spPr>
                </pic:pic>
              </a:graphicData>
            </a:graphic>
          </wp:inline>
        </w:drawing>
      </w:r>
      <w:bookmarkStart w:id="0" w:name="i-1"/>
      <w:bookmarkEnd w:id="0"/>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Albany International Reports Second-Quarter 2026 Results</w:t>
      </w:r>
    </w:p>
    <w:p>
      <w:pPr>
        <w:pStyle w:val="TextBody"/>
        <w:bidi w:val="0"/>
        <w:spacing w:before="200" w:after="283"/>
        <w:jc w:val="center"/>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Q2 2026 net revenue of $329.5 million, up 6% compared to $311.4 million in Q2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Q2 2026 net income attributable to the Company of $17.4 million, or diluted earnings per share (EPS) of $0.61, up 90% and 97% respectively, compared to net income of $9.2 million, or diluted EPS of $0.31, in the prior year.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of $57.8 million in Q2 2026 and Adjusted EPS per diluted share of $0.82 up 11% and 45% respectively, compared to $51.9 million and $0.57 in Q2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Paid $7.9 million in dividends and investe</w:t>
      </w:r>
      <w:r>
        <w:rPr>
          <w:rFonts w:ascii="Arial;sans-serif" w:hAnsi="Arial;sans-serif"/>
          <w:b w:val="false"/>
          <w:color w:val="000000"/>
          <w:sz w:val="20"/>
          <w:shd w:fill="FFFFFF" w:val="clear"/>
        </w:rPr>
        <w:t xml:space="preserve">d </w:t>
      </w:r>
      <w:r>
        <w:rPr>
          <w:rFonts w:ascii="Arial;sans-serif" w:hAnsi="Arial;sans-serif"/>
          <w:b w:val="false"/>
          <w:color w:val="000000"/>
          <w:sz w:val="20"/>
        </w:rPr>
        <w:t>$11.9 million</w:t>
      </w:r>
      <w:r>
        <w:rPr>
          <w:color w:val="000000"/>
          <w:shd w:fill="FFFFFF" w:val="clear"/>
        </w:rPr>
        <w:t xml:space="preserve"> </w:t>
      </w:r>
      <w:r>
        <w:rPr>
          <w:rFonts w:ascii="Arial;sans-serif" w:hAnsi="Arial;sans-serif"/>
          <w:b w:val="false"/>
          <w:color w:val="000000"/>
          <w:sz w:val="20"/>
          <w:shd w:fill="FFFFFF" w:val="clear"/>
        </w:rPr>
        <w:t xml:space="preserve">in capital in the second quarter, continuing the commitment of balanced capital allocation. </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color w:val="000000"/>
          <w:sz w:val="20"/>
        </w:rPr>
        <w:t>PORTSMOUTH, N.H.--(BUSINESS WIRE)--August 4, 2026</w:t>
      </w:r>
      <w:r>
        <w:rPr>
          <w:color w:val="000000"/>
        </w:rPr>
        <w:t xml:space="preserve"> — </w:t>
      </w:r>
      <w:r>
        <w:rPr>
          <w:rFonts w:ascii="Arial;sans-serif" w:hAnsi="Arial;sans-serif"/>
          <w:b w:val="false"/>
          <w:color w:val="000000"/>
          <w:sz w:val="20"/>
        </w:rPr>
        <w:t>Albany International Corp. (NYSE:AIN) today reported operating results for its second quarter of 2026, which ended June 30, 2026.</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Gunnar Kleveland, Albany International’s President and Chief Executive Officer, said, “Our second-quarter performance delivered the strongest Adjusted EBITDA we have achieved in the past two years and grew 11.5% year-over-year, despite modestly lower-than-expected revenue due to several discrete factors. This result reflects the progress we have made to build a more nimble company and underscores the strength of our operating model, our focus on profitable growth, and the dedication of the Albany team." </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Kleveland continued, “In Engineered Composites, we are seeing the benefits of a refined operating model centered on our innovative technologies, which enable lighter-weight, more durable solutions for customers across commercial aerospace, defense, and space applications. Our recent participation at the Farnborough International Airshow reinforced the value of our business, as leading OEMs and government stakeholders engaged with us to explore solutions enabled by our innovative material science. In Machine Clothing, we are applying that same focus on innovation to expand opportunities for our high-value, performance-driven products across a broader range of uses.”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Consolidated Results</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0"/>
        </w:rPr>
        <w:t xml:space="preserve">The Company’s net revenues were $329.5 million in the second quarter of 2026, compared to $311.4 million in the prior year. The increase was primarily driven by higher volume in the Engineered Composites business, offset by </w:t>
      </w:r>
      <w:r>
        <w:rPr>
          <w:rFonts w:ascii="Arial;sans-serif" w:hAnsi="Arial;sans-serif"/>
          <w:b w:val="false"/>
          <w:color w:val="000000"/>
          <w:sz w:val="20"/>
          <w:shd w:fill="FFFFFF" w:val="clear"/>
        </w:rPr>
        <w:t>some end-market softness in Machine Clothing along with downtime related to an equipment failure in the Machine Clothing business.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Gross profit of $107.9 million in the second quarter of 2026 was 10.7% higher than $97.5 million reported for the same period of 2025, as a result of cost controls in Machine Clothing and a favorable mix of aerospace and defense programs in the Engineered Composites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0"/>
        </w:rPr>
        <w:t>Selling, general, and administrative expenses were $56.1 million in the second quarter of 2026, compared to $58.5 million in the same period of 202</w:t>
      </w:r>
      <w:r>
        <w:rPr>
          <w:rFonts w:ascii="Arial;sans-serif" w:hAnsi="Arial;sans-serif"/>
          <w:b w:val="false"/>
          <w:color w:val="000000"/>
          <w:sz w:val="20"/>
          <w:shd w:fill="FFFFFF" w:val="clear"/>
        </w:rPr>
        <w:t>5, driven primarily by cost containment initiatives.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Operating income was $32.1 million, compared to $22.3 million in the prior year, an increase of 44.3%, primarily driven by stronger gross profit and cost containment initiatives.</w:t>
      </w:r>
    </w:p>
    <w:p>
      <w:pPr>
        <w:pStyle w:val="TextBody"/>
        <w:bidi w:val="0"/>
        <w:spacing w:before="0" w:after="0"/>
        <w:jc w:val="both"/>
        <w:rPr/>
      </w:pPr>
      <w:r>
        <w:rPr/>
      </w:r>
    </w:p>
    <w:p>
      <w:pPr>
        <w:pStyle w:val="TextBody"/>
        <w:bidi w:val="0"/>
        <w:spacing w:lineRule="auto" w:line="360"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effective tax rate for the quarter was 32.0% compared to a 31.3% effective tax rate in the second quarter of 2025. </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The net income attributable to the Company was $17.4 million, or $0.61 per share on a basic and diluted basis, compared to $9.2 million, or $0.31 per share in the second quarter of 2025. </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Adjusted diluted earnings per share (or Adjusted EPS, a non-GAAP measure) was $0.82 per share, compared to $0.57 per share for the same period of last year. </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0"/>
        </w:rPr>
        <w:t xml:space="preserve">Adjusted EBITDA (a non-GAAP measure) was $57.8 million, compared to $51.9 million in the second quarter of </w:t>
      </w:r>
      <w:r>
        <w:rPr>
          <w:rFonts w:ascii="Arial;sans-serif" w:hAnsi="Arial;sans-serif"/>
          <w:b w:val="false"/>
          <w:color w:val="000000"/>
          <w:sz w:val="20"/>
          <w:shd w:fill="FFFFFF" w:val="clear"/>
        </w:rPr>
        <w:t>2025, an increase of 11.5%, due to stronger revenue and operating profit. Adjusted EBITDA margin was 17.6% and 16.7% in the prior year, up 90 basis points as a result of stronger contribution from Engineered Composites.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Will Station, Albany International’s Chief Financial Officer, said, “We are pleased with our second-quarter performance, as disciplined execution and a more focused operating model drove meaningful year-over-year improvement in profitability. As we look to the balance of the year, we remain well positioned to maintain our growth trajectory. In Engineered Composites, we expect continued strength as multiple programs scale and we benefit from our focus on quality of earnings, while in Machine Clothing, we remain focused on execution and margin stability as we manage a fluid demand environment across the geographies we serve.”</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000000"/>
          <w:sz w:val="20"/>
        </w:rPr>
      </w:pPr>
      <w:r>
        <w:rPr>
          <w:rFonts w:ascii="Arial;sans-serif" w:hAnsi="Arial;sans-serif"/>
          <w:b/>
          <w:color w:val="000000"/>
          <w:sz w:val="20"/>
        </w:rPr>
        <w:t>Machine Clothing</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0"/>
        </w:rPr>
        <w:t>Machine Clothing's net revenues decreas</w:t>
      </w:r>
      <w:r>
        <w:rPr>
          <w:rFonts w:ascii="Arial;sans-serif" w:hAnsi="Arial;sans-serif"/>
          <w:b w:val="false"/>
          <w:color w:val="000000"/>
          <w:sz w:val="20"/>
          <w:shd w:fill="FFFFFF" w:val="clear"/>
        </w:rPr>
        <w:t>ed 2.4%</w:t>
      </w:r>
      <w:r>
        <w:rPr>
          <w:color w:val="000000"/>
        </w:rPr>
        <w:t xml:space="preserve"> </w:t>
      </w:r>
      <w:r>
        <w:rPr>
          <w:rFonts w:ascii="Arial;sans-serif" w:hAnsi="Arial;sans-serif"/>
          <w:b w:val="false"/>
          <w:color w:val="000000"/>
          <w:sz w:val="20"/>
        </w:rPr>
        <w:t>after adjusting for currency translation, primarily driven by cyclical declines in the Americas and machine downtime in that region.</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Machine Clothing’s adjusted EBITDA margin was 28.0%, compared to 28.9% in the second quarter of 2025. The margin decline is primarily impacted by foreign currency impacts related to a weaker U.S. dollar. On a constant currency basis, margins were up slightly at 29.0% despite lower volumes, driven by synergies and efficiency gains across the network. </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000000"/>
          <w:sz w:val="20"/>
        </w:rPr>
      </w:pPr>
      <w:r>
        <w:rPr>
          <w:rFonts w:ascii="Arial;sans-serif" w:hAnsi="Arial;sans-serif"/>
          <w:b/>
          <w:color w:val="000000"/>
          <w:sz w:val="20"/>
        </w:rPr>
        <w:t xml:space="preserve">Engineered Composites </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Engineered Composites net revenues increased 14.2% after adjusting for currency translation, driven by strength across commercial and defense programs, most notably on the commercial side within the LEAP program, and on the defense side under the CH-53K and missile programs.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Adjusted EBITDA margin was 13.3%, compared to 8.5% in the second quarter of 2025. The increase in margin was driven by the continued focus on quality of earnings and the scaling of more profitable programs.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rPr>
      </w:pPr>
      <w:r>
        <w:rPr>
          <w:rFonts w:ascii="Arial;sans-serif" w:hAnsi="Arial;sans-serif"/>
          <w:b/>
          <w:color w:val="000000"/>
          <w:sz w:val="20"/>
        </w:rPr>
        <w:t>Capital Allocation Balance Sheet</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Capital expenditures were $11.9 million, compared to $14.9 million in the second quarter of 2025, and were driven primarily by facility optimizations. Research and development expenses totaled $11.7 million, compared to $12.6 million in the second quarter of 2025, consistent with the Company’s commitment to advancing proprietary technologies and supporting long-term growth in both Machine Clothing and Engineered Composites.</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Albany ended the quarter with cash and cash equivalents of $77.3 million and total debt of $450.7 million, resulting in a net debt position of $373.3 million. The Company maintains significant financial flexibility and liquidity to support ongoing investment initiatives while continuing to return capital to shareholders.</w:t>
      </w:r>
    </w:p>
    <w:p>
      <w:pPr>
        <w:pStyle w:val="TextBody"/>
        <w:bidi w:val="0"/>
        <w:spacing w:before="0" w:after="0"/>
        <w:jc w:val="both"/>
        <w:rPr/>
      </w:pPr>
      <w:r>
        <w:rPr/>
      </w:r>
    </w:p>
    <w:p>
      <w:pPr>
        <w:pStyle w:val="TextBody"/>
        <w:bidi w:val="0"/>
        <w:spacing w:lineRule="auto" w:line="360" w:before="0" w:after="0"/>
        <w:jc w:val="both"/>
        <w:rPr>
          <w:rFonts w:ascii="Arial;sans-serif" w:hAnsi="Arial;sans-serif"/>
          <w:b/>
          <w:color w:val="000000"/>
          <w:sz w:val="20"/>
          <w:u w:val="single"/>
        </w:rPr>
      </w:pPr>
      <w:r>
        <w:rPr>
          <w:rFonts w:ascii="Arial;sans-serif" w:hAnsi="Arial;sans-serif"/>
          <w:b/>
          <w:color w:val="000000"/>
          <w:sz w:val="20"/>
          <w:u w:val="single"/>
        </w:rPr>
        <w:t>Outlook for the Third Quarter of 2026</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shd w:fill="FFFFFF" w:val="clear"/>
        </w:rPr>
        <w:t>•</w:t>
      </w:r>
      <w:r>
        <w:rPr>
          <w:rFonts w:ascii="Arial;sans-serif" w:hAnsi="Arial;sans-serif"/>
          <w:b w:val="false"/>
          <w:color w:val="000000"/>
          <w:sz w:val="20"/>
          <w:shd w:fill="FFFFFF" w:val="clear"/>
        </w:rPr>
        <w:t>Consolidated net revenue between $320 million and $330 million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Machine Clothing net revenue between $165 million and $170 million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Engineered Composite net revenue between $155 million and $160 million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Adjusted EPS between $0.60 and $0.70</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Third-quarter effective tax rate of 31.5%</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0"/>
        </w:rPr>
      </w:pPr>
      <w:r>
        <w:rPr>
          <w:rFonts w:ascii="Arial;sans-serif" w:hAnsi="Arial;sans-serif"/>
          <w:b/>
          <w:color w:val="000000"/>
          <w:sz w:val="20"/>
        </w:rPr>
        <w:t>Second-Quarter 2026 Results Conference Call/Webcast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will host a webcast to discuss results at 9:00 a.m. Eastern Time on Tuesday, August 4, 2026. Interested parties are encouraged to listen to the live webcast via the Company’s Investor Relations website at investors.albint.com or by registering via the link here. The event can also be accessed by dialing +1 (833) 461-5787 and using the Meeting ID: 487 159 842.</w:t>
      </w:r>
    </w:p>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An archive of the webcast will be available for replay on the website at approximately noon Eastern Time on Tuesday, August 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ALBANY INTERNATIONAL CORP.</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STATEMENTS OF INCOME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per share amounts)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697"/>
        <w:gridCol w:w="1458"/>
        <w:gridCol w:w="14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9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Class A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Arial;sans-serif" w:hAnsi="Arial;sans-serif"/>
          <w:b w:val="false"/>
          <w:color w:val="000000"/>
          <w:sz w:val="18"/>
        </w:rPr>
      </w:pPr>
      <w:r>
        <w:rPr>
          <w:rFonts w:ascii="Arial;sans-serif" w:hAnsi="Arial;sans-serif"/>
          <w:b w:val="false"/>
          <w:color w:val="000000"/>
          <w:sz w:val="18"/>
        </w:rPr>
        <w:t>ALBANY INTERNATIONAL CORP.</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44"/>
        <w:gridCol w:w="2334"/>
        <w:gridCol w:w="2261"/>
        <w:gridCol w:w="196"/>
        <w:gridCol w:w="871"/>
        <w:gridCol w:w="109"/>
        <w:gridCol w:w="109"/>
        <w:gridCol w:w="109"/>
        <w:gridCol w:w="109"/>
        <w:gridCol w:w="234"/>
        <w:gridCol w:w="1042"/>
        <w:gridCol w:w="187"/>
      </w:tblGrid>
      <w:tr>
        <w:trPr/>
        <w:tc>
          <w:tcPr>
            <w:tcW w:w="264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112,350 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293,783 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928,835 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1,718,709 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139,385 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442,297 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986,607 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par value $0.001 per share; authorized 100,000,000 shares; 41,056,929 issued in 2026 and 40,989,106 in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976,373 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(119,008)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(Class A), at cost; 12,685,782 shares in 2026 and 12,685,782 in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(567,139)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726,209 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732,102 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1,718,709 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ALBANY INTERNATIONAL CORP.</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304"/>
        <w:gridCol w:w="2014"/>
        <w:gridCol w:w="2031"/>
        <w:gridCol w:w="109"/>
        <w:gridCol w:w="109"/>
        <w:gridCol w:w="206"/>
        <w:gridCol w:w="206"/>
        <w:gridCol w:w="373"/>
        <w:gridCol w:w="1229"/>
        <w:gridCol w:w="206"/>
        <w:gridCol w:w="109"/>
        <w:gridCol w:w="109"/>
        <w:gridCol w:w="109"/>
        <w:gridCol w:w="196"/>
        <w:gridCol w:w="736"/>
        <w:gridCol w:w="159"/>
      </w:tblGrid>
      <w:tr>
        <w:trPr/>
        <w:tc>
          <w:tcPr>
            <w:tcW w:w="230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418" w:type="dxa"/>
            <w:gridSpan w:val="6"/>
            <w:tcBorders/>
          </w:tcPr>
          <w:p>
            <w:pPr>
              <w:pStyle w:val="TableContents"/>
              <w:bidi w:val="0"/>
              <w:spacing w:before="0" w:after="283"/>
              <w:jc w:val="left"/>
              <w:rPr>
                <w:sz w:val="4"/>
                <w:szCs w:val="4"/>
              </w:rPr>
            </w:pPr>
            <w:r>
              <w:rPr>
                <w:sz w:val="4"/>
                <w:szCs w:val="4"/>
              </w:rPr>
            </w:r>
          </w:p>
        </w:tc>
      </w:tr>
      <w:tr>
        <w:trPr/>
        <w:tc>
          <w:tcPr>
            <w:tcW w:w="6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Loss/(gain) on disposal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Provision/(recovery) for credit losses from uncollected receivables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loss/(gain) on intercompany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received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(19,522)</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(19,200)</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77,349 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106,689 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The following table presents the reconciliation of Net revenues to net revenues excluding the effect of changes in currency translation rates, a non-GAAP measure:</w:t>
      </w:r>
    </w:p>
    <w:tbl>
      <w:tblPr>
        <w:tblW w:w="10205" w:type="dxa"/>
        <w:jc w:val="left"/>
        <w:tblInd w:w="0" w:type="dxa"/>
        <w:tblLayout w:type="fixed"/>
        <w:tblCellMar>
          <w:top w:w="28" w:type="dxa"/>
          <w:left w:w="28" w:type="dxa"/>
          <w:bottom w:w="28" w:type="dxa"/>
          <w:right w:w="28" w:type="dxa"/>
        </w:tblCellMar>
      </w:tblPr>
      <w:tblGrid>
        <w:gridCol w:w="622"/>
        <w:gridCol w:w="462"/>
        <w:gridCol w:w="463"/>
        <w:gridCol w:w="269"/>
        <w:gridCol w:w="1073"/>
        <w:gridCol w:w="139"/>
        <w:gridCol w:w="403"/>
        <w:gridCol w:w="1179"/>
        <w:gridCol w:w="210"/>
        <w:gridCol w:w="372"/>
        <w:gridCol w:w="1459"/>
        <w:gridCol w:w="192"/>
        <w:gridCol w:w="270"/>
        <w:gridCol w:w="1059"/>
        <w:gridCol w:w="139"/>
        <w:gridCol w:w="461"/>
        <w:gridCol w:w="365"/>
        <w:gridCol w:w="1068"/>
      </w:tblGrid>
      <w:tr>
        <w:trPr/>
        <w:tc>
          <w:tcPr>
            <w:tcW w:w="62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Q2 2026</w:t>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 revenues on same basis as Q2 2025 currency translation rates</w:t>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Q2 2025</w:t>
            </w:r>
          </w:p>
        </w:tc>
        <w:tc>
          <w:tcPr>
            <w:tcW w:w="1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Q2 2025, excluding currency rate effects</w:t>
            </w:r>
          </w:p>
        </w:tc>
      </w:tr>
      <w:tr>
        <w:trPr/>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178,710</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176,573 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150,772</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148,948 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130,473 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329,482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325,521 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311,399 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2"/>
        <w:gridCol w:w="461"/>
        <w:gridCol w:w="463"/>
        <w:gridCol w:w="272"/>
        <w:gridCol w:w="1086"/>
        <w:gridCol w:w="140"/>
        <w:gridCol w:w="375"/>
        <w:gridCol w:w="1283"/>
        <w:gridCol w:w="194"/>
        <w:gridCol w:w="365"/>
        <w:gridCol w:w="1432"/>
        <w:gridCol w:w="189"/>
        <w:gridCol w:w="273"/>
        <w:gridCol w:w="1072"/>
        <w:gridCol w:w="141"/>
        <w:gridCol w:w="449"/>
        <w:gridCol w:w="353"/>
        <w:gridCol w:w="1035"/>
      </w:tblGrid>
      <w:tr>
        <w:trPr/>
        <w:tc>
          <w:tcPr>
            <w:tcW w:w="6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 as reported, YTD 2026</w:t>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YTD 2026 revenues on same basis as 2025 currency translation rates</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 as reported, YTD 2025</w:t>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Change compared to 2025, excluding currency rate effects</w:t>
            </w:r>
          </w:p>
        </w:tc>
      </w:tr>
      <w:tr>
        <w:trPr/>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344,662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336,383 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296,153</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291,194 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244,550 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640,815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627,577 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Gross profit and Gross profit margin:</w:t>
      </w:r>
    </w:p>
    <w:tbl>
      <w:tblPr>
        <w:tblW w:w="10047" w:type="dxa"/>
        <w:jc w:val="left"/>
        <w:tblInd w:w="0" w:type="dxa"/>
        <w:tblLayout w:type="fixed"/>
        <w:tblCellMar>
          <w:top w:w="28" w:type="dxa"/>
          <w:left w:w="28" w:type="dxa"/>
          <w:bottom w:w="28" w:type="dxa"/>
          <w:right w:w="28" w:type="dxa"/>
        </w:tblCellMar>
      </w:tblPr>
      <w:tblGrid>
        <w:gridCol w:w="1059"/>
        <w:gridCol w:w="931"/>
        <w:gridCol w:w="934"/>
        <w:gridCol w:w="212"/>
        <w:gridCol w:w="833"/>
        <w:gridCol w:w="109"/>
        <w:gridCol w:w="530"/>
        <w:gridCol w:w="530"/>
        <w:gridCol w:w="1324"/>
        <w:gridCol w:w="234"/>
        <w:gridCol w:w="800"/>
        <w:gridCol w:w="121"/>
        <w:gridCol w:w="495"/>
        <w:gridCol w:w="495"/>
        <w:gridCol w:w="144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Gross profit, </w:t>
              <w:br/>
              <w:t>Q2 2026</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profit margin, Q2 2026</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Gross profit, </w:t>
              <w:br/>
              <w:t>Q2 2025</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profit margin, Q2 2025</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32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4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Reconciliation of Net income/(loss) (GAAP) to Adjusted EBITDA (non-GAAP) for the current-year and comparable prior-year periods have been calculated as follows.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2"/>
        <w:gridCol w:w="1251"/>
        <w:gridCol w:w="1255"/>
        <w:gridCol w:w="260"/>
        <w:gridCol w:w="907"/>
        <w:gridCol w:w="334"/>
        <w:gridCol w:w="278"/>
        <w:gridCol w:w="970"/>
        <w:gridCol w:w="358"/>
        <w:gridCol w:w="338"/>
        <w:gridCol w:w="1182"/>
        <w:gridCol w:w="176"/>
        <w:gridCol w:w="219"/>
        <w:gridCol w:w="765"/>
        <w:gridCol w:w="330"/>
      </w:tblGrid>
      <w:tr>
        <w:trPr/>
        <w:tc>
          <w:tcPr>
            <w:tcW w:w="158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r>
          </w:p>
        </w:tc>
      </w:tr>
      <w:tr>
        <w:trPr/>
        <w:tc>
          <w:tcPr>
            <w:tcW w:w="4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Machine Clothing</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Albany Engineered</w:t>
              <w:br/>
              <w:t>Composites</w:t>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expenses</w:t>
              <w:br/>
              <w:t>and other</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r>
      <w:tr>
        <w:trPr/>
        <w:tc>
          <w:tcPr>
            <w:tcW w:w="408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08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income/(loss) (GAAP)</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34,705</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11,429</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(28,430)</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17,704</w:t>
            </w:r>
            <w:r>
              <w:rPr>
                <w:color w:val="000000"/>
              </w:rPr>
              <w:t>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8,327 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 (non-GAAP)</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43,127</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19,990</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(14,000)</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49,117</w:t>
            </w:r>
            <w:r>
              <w:rPr>
                <w:color w:val="000000"/>
              </w:rPr>
              <w:t>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088"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4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Pre-tax loss/(income) attributable to noncontrolling interest </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50,039</w:t>
            </w: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19,985</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(12,198)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57,826</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 (Adjusted EBITDA divided by net revenues) (non-GAAP)</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w:t>
            </w:r>
            <w:r>
              <w:rPr>
                <w:color w:val="000000"/>
              </w:rPr>
              <w:t>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4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1"/>
        <w:gridCol w:w="1258"/>
        <w:gridCol w:w="1260"/>
        <w:gridCol w:w="260"/>
        <w:gridCol w:w="907"/>
        <w:gridCol w:w="334"/>
        <w:gridCol w:w="278"/>
        <w:gridCol w:w="970"/>
        <w:gridCol w:w="358"/>
        <w:gridCol w:w="338"/>
        <w:gridCol w:w="1182"/>
        <w:gridCol w:w="176"/>
        <w:gridCol w:w="219"/>
        <w:gridCol w:w="765"/>
        <w:gridCol w:w="329"/>
      </w:tblGrid>
      <w:tr>
        <w:trPr/>
        <w:tc>
          <w:tcPr>
            <w:tcW w:w="157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2025</w:t>
            </w:r>
          </w:p>
        </w:tc>
      </w:tr>
      <w:tr>
        <w:trPr/>
        <w:tc>
          <w:tcPr>
            <w:tcW w:w="4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Machine Clothing</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Albany Engineered</w:t>
              <w:br/>
              <w:t>Composites</w:t>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expenses</w:t>
              <w:br/>
              <w:t>and other</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r>
      <w:tr>
        <w:trPr/>
        <w:tc>
          <w:tcPr>
            <w:tcW w:w="4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income/(loss) (GAAP)</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37,702</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(2,674)</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(25,696)</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9,332</w:t>
            </w:r>
            <w:r>
              <w:rPr>
                <w:color w:val="000000"/>
              </w:rPr>
              <w:t>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 (non-GAAP)</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45,675</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10,781</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(15,969)</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40,487</w:t>
            </w:r>
            <w:r>
              <w:rPr>
                <w:color w:val="000000"/>
              </w:rPr>
              <w:t>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(income) attributable to noncontrolling interest</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52,198</w:t>
            </w: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11,122</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(11,438)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51,882</w:t>
            </w: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 (Adjusted EBITDA divided by net revenues) (non-GAAP)</w:t>
            </w:r>
          </w:p>
        </w:tc>
        <w:tc>
          <w:tcPr>
            <w:tcW w:w="116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28.9</w:t>
            </w:r>
            <w:r>
              <w:rPr>
                <w:color w:val="000000"/>
              </w:rPr>
              <w:t> </w:t>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24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w:t>
            </w:r>
            <w:r>
              <w:rPr>
                <w:color w:val="000000"/>
              </w:rPr>
              <w:t> </w:t>
            </w:r>
          </w:p>
        </w:tc>
        <w:tc>
          <w:tcPr>
            <w:tcW w:w="3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52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w:t>
            </w:r>
            <w:r>
              <w:rPr>
                <w:color w:val="000000"/>
              </w:rPr>
              <w:t> </w:t>
            </w:r>
          </w:p>
        </w:tc>
        <w:tc>
          <w:tcPr>
            <w:tcW w:w="3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1552"/>
        <w:gridCol w:w="1239"/>
        <w:gridCol w:w="1242"/>
        <w:gridCol w:w="260"/>
        <w:gridCol w:w="907"/>
        <w:gridCol w:w="334"/>
        <w:gridCol w:w="278"/>
        <w:gridCol w:w="970"/>
        <w:gridCol w:w="358"/>
        <w:gridCol w:w="338"/>
        <w:gridCol w:w="1182"/>
        <w:gridCol w:w="176"/>
        <w:gridCol w:w="211"/>
        <w:gridCol w:w="841"/>
        <w:gridCol w:w="317"/>
      </w:tblGrid>
      <w:tr>
        <w:trPr/>
        <w:tc>
          <w:tcPr>
            <w:tcW w:w="155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2026</w:t>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Machine Clothing</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Albany Engineered</w:t>
              <w:br/>
              <w:t>Composites</w:t>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expenses</w:t>
              <w:br/>
              <w:t>and other</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income/(loss) (GAAP)</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66,657</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20,027</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(53,531)</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33,153</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15,977 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 (non-GAAP)</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83,381</w:t>
            </w:r>
            <w:r>
              <w:rPr>
                <w:color w:val="000000"/>
              </w:rPr>
              <w:t>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37,377</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(25,946)</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94,812</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revaluation (gains)/losses</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(income) attributable to noncontrolling interest</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93,072</w:t>
            </w: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36,925</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(24,011)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105,986</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 (Adjusted EBITDA divided by net revenues) (non-GAAP)</w:t>
            </w:r>
          </w:p>
        </w:tc>
        <w:tc>
          <w:tcPr>
            <w:tcW w:w="116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w:t>
            </w:r>
            <w:r>
              <w:rPr>
                <w:color w:val="000000"/>
              </w:rPr>
              <w:t> </w:t>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24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3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52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w:t>
            </w:r>
            <w:r>
              <w:rPr>
                <w:color w:val="000000"/>
              </w:rPr>
              <w:t> </w:t>
            </w:r>
          </w:p>
        </w:tc>
        <w:tc>
          <w:tcPr>
            <w:tcW w:w="3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1553"/>
        <w:gridCol w:w="1239"/>
        <w:gridCol w:w="1241"/>
        <w:gridCol w:w="239"/>
        <w:gridCol w:w="954"/>
        <w:gridCol w:w="308"/>
        <w:gridCol w:w="278"/>
        <w:gridCol w:w="970"/>
        <w:gridCol w:w="358"/>
        <w:gridCol w:w="338"/>
        <w:gridCol w:w="1182"/>
        <w:gridCol w:w="176"/>
        <w:gridCol w:w="211"/>
        <w:gridCol w:w="841"/>
        <w:gridCol w:w="317"/>
      </w:tblGrid>
      <w:tr>
        <w:trPr/>
        <w:tc>
          <w:tcPr>
            <w:tcW w:w="155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2025</w:t>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Machine Clothing</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Albany Engineered</w:t>
              <w:br/>
              <w:t>Composites</w:t>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Corporate expenses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and other</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Company</w:t>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18"/>
              </w:rPr>
            </w:pPr>
            <w:r>
              <w:rPr>
                <w:rFonts w:ascii="Arial;sans-serif" w:hAnsi="Arial;sans-serif"/>
                <w:b/>
                <w:color w:val="000000"/>
                <w:sz w:val="18"/>
              </w:rPr>
              <w:t>Net income/(loss) (GAAP)</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76,133</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(1,058)</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(48,394)</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26,681</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18"/>
              </w:rPr>
            </w:pPr>
            <w:r>
              <w:rPr>
                <w:rFonts w:ascii="Arial;sans-serif" w:hAnsi="Arial;sans-serif"/>
                <w:b/>
                <w:color w:val="000000"/>
                <w:sz w:val="18"/>
              </w:rPr>
              <w:t>EBITDA (non-GAAP)</w:t>
            </w:r>
          </w:p>
        </w:tc>
        <w:tc>
          <w:tcPr>
            <w:tcW w:w="11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91,812</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25,692</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(28,446)</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89,058</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r>
      <w:tr>
        <w:trPr/>
        <w:tc>
          <w:tcPr>
            <w:tcW w:w="4033"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Pre-tax (income) attributable to noncontrolling interest </w:t>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(non-GAAP)</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101,890</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26,525</w:t>
            </w:r>
            <w:r>
              <w:rPr>
                <w:color w:val="000000"/>
              </w:rPr>
              <w:t>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(20,816)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107,599</w:t>
            </w: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 (Adjusted EBITDA divided by net revenues) (non-GAAP)</w:t>
            </w:r>
          </w:p>
        </w:tc>
        <w:tc>
          <w:tcPr>
            <w:tcW w:w="11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28.7</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w:t>
            </w:r>
            <w:r>
              <w:rPr>
                <w:color w:val="000000"/>
              </w:rPr>
              <w:t>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w:t>
            </w:r>
            <w:r>
              <w:rPr>
                <w:color w:val="000000"/>
              </w:rPr>
              <w:t>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4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The following table presents the reconciliation of Machine Clothing's Adjusted EBITDA Margin to Adjusted EBITDA Margin excluding the effect of changes in currency translation rates, a non-GAAP measure:</w:t>
      </w:r>
    </w:p>
    <w:tbl>
      <w:tblPr>
        <w:tblW w:w="10205" w:type="dxa"/>
        <w:jc w:val="left"/>
        <w:tblInd w:w="0" w:type="dxa"/>
        <w:tblLayout w:type="fixed"/>
        <w:tblCellMar>
          <w:top w:w="28" w:type="dxa"/>
          <w:left w:w="28" w:type="dxa"/>
          <w:bottom w:w="28" w:type="dxa"/>
          <w:right w:w="28" w:type="dxa"/>
        </w:tblCellMar>
      </w:tblPr>
      <w:tblGrid>
        <w:gridCol w:w="991"/>
        <w:gridCol w:w="871"/>
        <w:gridCol w:w="873"/>
        <w:gridCol w:w="231"/>
        <w:gridCol w:w="907"/>
        <w:gridCol w:w="297"/>
        <w:gridCol w:w="494"/>
        <w:gridCol w:w="1447"/>
        <w:gridCol w:w="258"/>
        <w:gridCol w:w="378"/>
        <w:gridCol w:w="1482"/>
        <w:gridCol w:w="486"/>
        <w:gridCol w:w="231"/>
        <w:gridCol w:w="905"/>
        <w:gridCol w:w="354"/>
      </w:tblGrid>
      <w:tr>
        <w:trPr/>
        <w:tc>
          <w:tcPr>
            <w:tcW w:w="9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reported, Q2 2026</w:t>
            </w:r>
          </w:p>
        </w:tc>
        <w:tc>
          <w:tcPr>
            <w:tcW w:w="2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 on same basis as Q2 2025 currency translation rates</w:t>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reported, Q2 2025</w:t>
            </w:r>
          </w:p>
        </w:tc>
      </w:tr>
      <w:tr>
        <w:trPr/>
        <w:tc>
          <w:tcPr>
            <w:tcW w:w="2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 Net revenues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178,710 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176,573 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180,926 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 Adjusted EBITDA (non-GAAP)</w:t>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50,039 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51,151 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52,198 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 (Adjusted EBITDA divided by net revenues) (non-GAAP)</w:t>
            </w:r>
          </w:p>
        </w:tc>
        <w:tc>
          <w:tcPr>
            <w:tcW w:w="11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w:t>
            </w:r>
            <w:r>
              <w:rPr>
                <w:color w:val="000000"/>
              </w:rPr>
              <w:t> </w:t>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219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w:t>
            </w:r>
            <w:r>
              <w:rPr>
                <w:color w:val="000000"/>
              </w:rPr>
              <w:t> </w:t>
            </w:r>
          </w:p>
        </w:tc>
        <w:tc>
          <w:tcPr>
            <w:tcW w:w="4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1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28.9</w:t>
            </w:r>
            <w:r>
              <w:rPr>
                <w:color w:val="000000"/>
              </w:rPr>
              <w:t> </w:t>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735"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2199" w:type="dxa"/>
            <w:gridSpan w:val="3"/>
            <w:tcBorders/>
            <w:vAlign w:val="center"/>
          </w:tcPr>
          <w:p>
            <w:pPr>
              <w:pStyle w:val="TableContents"/>
              <w:bidi w:val="0"/>
              <w:spacing w:before="0" w:after="283"/>
              <w:jc w:val="left"/>
              <w:rPr>
                <w:sz w:val="4"/>
                <w:szCs w:val="4"/>
              </w:rPr>
            </w:pPr>
            <w:r>
              <w:rPr>
                <w:sz w:val="4"/>
                <w:szCs w:val="4"/>
              </w:rPr>
            </w:r>
          </w:p>
        </w:tc>
        <w:tc>
          <w:tcPr>
            <w:tcW w:w="2346"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Per share impact of the adjustments to earnings per share are as follows:</w:t>
      </w:r>
    </w:p>
    <w:p>
      <w:pPr>
        <w:pStyle w:val="TextBody"/>
        <w:bidi w:val="0"/>
        <w:spacing w:before="100" w:after="283"/>
        <w:jc w:val="left"/>
        <w:rPr/>
      </w:pPr>
      <w:r>
        <w:rPr/>
      </w:r>
    </w:p>
    <w:tbl>
      <w:tblPr>
        <w:tblW w:w="7576" w:type="dxa"/>
        <w:jc w:val="left"/>
        <w:tblInd w:w="0" w:type="dxa"/>
        <w:tblLayout w:type="fixed"/>
        <w:tblCellMar>
          <w:top w:w="28" w:type="dxa"/>
          <w:left w:w="28" w:type="dxa"/>
          <w:bottom w:w="28" w:type="dxa"/>
          <w:right w:w="28" w:type="dxa"/>
        </w:tblCellMar>
      </w:tblPr>
      <w:tblGrid>
        <w:gridCol w:w="1408"/>
        <w:gridCol w:w="1236"/>
        <w:gridCol w:w="1240"/>
        <w:gridCol w:w="211"/>
        <w:gridCol w:w="616"/>
        <w:gridCol w:w="109"/>
        <w:gridCol w:w="211"/>
        <w:gridCol w:w="616"/>
        <w:gridCol w:w="109"/>
        <w:gridCol w:w="211"/>
        <w:gridCol w:w="616"/>
        <w:gridCol w:w="109"/>
        <w:gridCol w:w="213"/>
        <w:gridCol w:w="516"/>
        <w:gridCol w:w="155"/>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br/>
              <w:t>(in thousands, except per share amounts)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 tax</w:t>
              <w:br/>
              <w:t>Amounts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Tax</w:t>
              <w:br/>
              <w:t>Effect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tax</w:t>
              <w:br/>
              <w:t>Effect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 share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426" w:type="dxa"/>
        <w:jc w:val="left"/>
        <w:tblInd w:w="0" w:type="dxa"/>
        <w:tblLayout w:type="fixed"/>
        <w:tblCellMar>
          <w:top w:w="28" w:type="dxa"/>
          <w:left w:w="28" w:type="dxa"/>
          <w:bottom w:w="28" w:type="dxa"/>
          <w:right w:w="28" w:type="dxa"/>
        </w:tblCellMar>
      </w:tblPr>
      <w:tblGrid>
        <w:gridCol w:w="1408"/>
        <w:gridCol w:w="1236"/>
        <w:gridCol w:w="1240"/>
        <w:gridCol w:w="211"/>
        <w:gridCol w:w="616"/>
        <w:gridCol w:w="109"/>
        <w:gridCol w:w="211"/>
        <w:gridCol w:w="466"/>
        <w:gridCol w:w="109"/>
        <w:gridCol w:w="211"/>
        <w:gridCol w:w="616"/>
        <w:gridCol w:w="109"/>
        <w:gridCol w:w="213"/>
        <w:gridCol w:w="516"/>
        <w:gridCol w:w="155"/>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2025</w:t>
              <w:br/>
              <w:t>(in thousands, except per share amounts)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 tax</w:t>
              <w:br/>
              <w:t>Amounts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Tax</w:t>
              <w:br/>
              <w:t>Effect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tax</w:t>
              <w:br/>
              <w:t>Effect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 share</w:t>
              <w:br/>
              <w:t>Effect</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81" w:type="dxa"/>
        <w:jc w:val="left"/>
        <w:tblInd w:w="0" w:type="dxa"/>
        <w:tblLayout w:type="fixed"/>
        <w:tblCellMar>
          <w:top w:w="28" w:type="dxa"/>
          <w:left w:w="28" w:type="dxa"/>
          <w:bottom w:w="28" w:type="dxa"/>
          <w:right w:w="28" w:type="dxa"/>
        </w:tblCellMar>
      </w:tblPr>
      <w:tblGrid>
        <w:gridCol w:w="1408"/>
        <w:gridCol w:w="1236"/>
        <w:gridCol w:w="1240"/>
        <w:gridCol w:w="211"/>
        <w:gridCol w:w="721"/>
        <w:gridCol w:w="109"/>
        <w:gridCol w:w="211"/>
        <w:gridCol w:w="616"/>
        <w:gridCol w:w="109"/>
        <w:gridCol w:w="211"/>
        <w:gridCol w:w="616"/>
        <w:gridCol w:w="109"/>
        <w:gridCol w:w="213"/>
        <w:gridCol w:w="516"/>
        <w:gridCol w:w="155"/>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Six months ended June 30, 2026</w:t>
              <w:br/>
              <w:t>(in thousands, except per share amounts)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Pre tax</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Amounts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Tax</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After tax</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 share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tbl>
      <w:tblPr>
        <w:tblW w:w="7576" w:type="dxa"/>
        <w:jc w:val="left"/>
        <w:tblInd w:w="0" w:type="dxa"/>
        <w:tblLayout w:type="fixed"/>
        <w:tblCellMar>
          <w:top w:w="28" w:type="dxa"/>
          <w:left w:w="28" w:type="dxa"/>
          <w:bottom w:w="28" w:type="dxa"/>
          <w:right w:w="28" w:type="dxa"/>
        </w:tblCellMar>
      </w:tblPr>
      <w:tblGrid>
        <w:gridCol w:w="1408"/>
        <w:gridCol w:w="1236"/>
        <w:gridCol w:w="1240"/>
        <w:gridCol w:w="211"/>
        <w:gridCol w:w="616"/>
        <w:gridCol w:w="109"/>
        <w:gridCol w:w="211"/>
        <w:gridCol w:w="616"/>
        <w:gridCol w:w="109"/>
        <w:gridCol w:w="211"/>
        <w:gridCol w:w="616"/>
        <w:gridCol w:w="109"/>
        <w:gridCol w:w="213"/>
        <w:gridCol w:w="516"/>
        <w:gridCol w:w="155"/>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Six months ended June 30, 2025</w:t>
              <w:br/>
              <w:t>(in thousands, except per share amounts)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Pre tax</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Amounts</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Tax</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After tax</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Per share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Effect</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jc w:val="left"/>
        <w:rPr>
          <w:rFonts w:ascii="Arial;sans-serif" w:hAnsi="Arial;sans-serif"/>
          <w:b w:val="false"/>
          <w:color w:val="000000"/>
          <w:sz w:val="18"/>
        </w:rPr>
      </w:pPr>
      <w:r>
        <w:rPr>
          <w:rFonts w:ascii="Arial;sans-serif" w:hAnsi="Arial;sans-serif"/>
          <w:b w:val="false"/>
          <w:color w:val="000000"/>
          <w:sz w:val="18"/>
        </w:rPr>
        <w:t>The following table provides a reconciliation of Earnings per share attributable to the Company shareholders - Diluted (GAAP) to Adjusted earnings per share attributable to the Company shareholders - Diluted (non-GAAP):</w:t>
      </w:r>
    </w:p>
    <w:tbl>
      <w:tblPr>
        <w:tblW w:w="10205" w:type="dxa"/>
        <w:jc w:val="left"/>
        <w:tblInd w:w="0" w:type="dxa"/>
        <w:tblLayout w:type="fixed"/>
        <w:tblCellMar>
          <w:top w:w="28" w:type="dxa"/>
          <w:left w:w="28" w:type="dxa"/>
          <w:bottom w:w="28" w:type="dxa"/>
          <w:right w:w="28" w:type="dxa"/>
        </w:tblCellMar>
      </w:tblPr>
      <w:tblGrid>
        <w:gridCol w:w="2101"/>
        <w:gridCol w:w="1752"/>
        <w:gridCol w:w="1760"/>
        <w:gridCol w:w="281"/>
        <w:gridCol w:w="702"/>
        <w:gridCol w:w="145"/>
        <w:gridCol w:w="281"/>
        <w:gridCol w:w="682"/>
        <w:gridCol w:w="145"/>
        <w:gridCol w:w="262"/>
        <w:gridCol w:w="655"/>
        <w:gridCol w:w="135"/>
        <w:gridCol w:w="262"/>
        <w:gridCol w:w="636"/>
        <w:gridCol w:w="135"/>
        <w:gridCol w:w="109"/>
        <w:gridCol w:w="162"/>
      </w:tblGrid>
      <w:tr>
        <w:trPr/>
        <w:tc>
          <w:tcPr>
            <w:tcW w:w="210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08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share amounts (Diluted)</w:t>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 (GAAP)</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after tax:</w:t>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 and other</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0.19</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Foreign currency revaluation (gains)/losses </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(0.06)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Strategic review and other transition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0.02</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earnings per share attributable to Company shareholders - Diluted (non-GAAP)</w:t>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0.82</w:t>
            </w:r>
            <w:r>
              <w:rPr>
                <w:color w:val="000000"/>
              </w:rPr>
              <w:t>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w:t>
            </w:r>
            <w:r>
              <w:rPr>
                <w:color w:val="000000"/>
              </w:rPr>
              <w:t> </w:t>
            </w:r>
          </w:p>
        </w:tc>
        <w:tc>
          <w:tcPr>
            <w:tcW w:w="1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 xml:space="preserve">The calculations of net debt are as follows: </w:t>
      </w:r>
    </w:p>
    <w:p>
      <w:pPr>
        <w:pStyle w:val="TextBody"/>
        <w:bidi w:val="0"/>
        <w:spacing w:before="100" w:after="283"/>
        <w:jc w:val="left"/>
        <w:rPr/>
      </w:pPr>
      <w:r>
        <w:rPr/>
      </w:r>
    </w:p>
    <w:tbl>
      <w:tblPr>
        <w:tblW w:w="6732" w:type="dxa"/>
        <w:jc w:val="left"/>
        <w:tblInd w:w="0" w:type="dxa"/>
        <w:tblLayout w:type="fixed"/>
        <w:tblCellMar>
          <w:top w:w="28" w:type="dxa"/>
          <w:left w:w="28" w:type="dxa"/>
          <w:bottom w:w="28" w:type="dxa"/>
          <w:right w:w="28" w:type="dxa"/>
        </w:tblCellMar>
      </w:tblPr>
      <w:tblGrid>
        <w:gridCol w:w="849"/>
        <w:gridCol w:w="744"/>
        <w:gridCol w:w="746"/>
        <w:gridCol w:w="234"/>
        <w:gridCol w:w="935"/>
        <w:gridCol w:w="121"/>
        <w:gridCol w:w="321"/>
        <w:gridCol w:w="1282"/>
        <w:gridCol w:w="166"/>
        <w:gridCol w:w="233"/>
        <w:gridCol w:w="931"/>
        <w:gridCol w:w="170"/>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450,669 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444,686 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debt</w:t>
            </w:r>
          </w:p>
        </w:tc>
        <w:tc>
          <w:tcPr>
            <w:tcW w:w="11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450,669</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455,663</w:t>
            </w:r>
            <w:r>
              <w:rPr>
                <w:color w:val="000000"/>
              </w:rPr>
              <w:t>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444,686</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106,689 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debt (non-GAAP)</w:t>
            </w:r>
          </w:p>
        </w:tc>
        <w:tc>
          <w:tcPr>
            <w:tcW w:w="2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373,320</w:t>
            </w:r>
            <w:r>
              <w:rPr>
                <w:color w:val="000000"/>
              </w:rPr>
              <w:t>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343,313</w:t>
            </w:r>
            <w:r>
              <w:rPr>
                <w:color w:val="000000"/>
              </w:rPr>
              <w:t>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337,997</w:t>
            </w:r>
            <w:r>
              <w:rPr>
                <w:color w:val="000000"/>
              </w:rPr>
              <w:t> </w:t>
            </w:r>
          </w:p>
        </w:tc>
        <w:tc>
          <w:tcPr>
            <w:tcW w:w="1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200" w:after="283"/>
        <w:jc w:val="both"/>
        <w:rPr>
          <w:rFonts w:ascii="Arial;sans-serif" w:hAnsi="Arial;sans-serif"/>
          <w:b w:val="false"/>
          <w:color w:val="000000"/>
          <w:sz w:val="18"/>
        </w:rPr>
      </w:pPr>
      <w:r>
        <w:rPr>
          <w:rFonts w:ascii="Arial;sans-serif" w:hAnsi="Arial;sans-serif"/>
          <w:b w:val="false"/>
          <w:color w:val="000000"/>
          <w:sz w:val="18"/>
        </w:rPr>
        <w:t>Free cash flow is defined as GAAP "Net cash provided by operating activities" in a period less "Purchases of property, plant and equipment" and "Purchased software" in the same period. Management believes free cash flow provides an important perspective on our ability to generate cash from our business operations and, as such, that it is an important financial measure for use in evaluating the Company's financial performance. Management uses free cash flow internally to assess overall liquidity. The following table illustrates the calculation of free cash flow:</w:t>
      </w:r>
    </w:p>
    <w:tbl>
      <w:tblPr>
        <w:tblW w:w="9029" w:type="dxa"/>
        <w:jc w:val="left"/>
        <w:tblInd w:w="0" w:type="dxa"/>
        <w:tblLayout w:type="fixed"/>
        <w:tblCellMar>
          <w:top w:w="28" w:type="dxa"/>
          <w:left w:w="28" w:type="dxa"/>
          <w:bottom w:w="28" w:type="dxa"/>
          <w:right w:w="28" w:type="dxa"/>
        </w:tblCellMar>
      </w:tblPr>
      <w:tblGrid>
        <w:gridCol w:w="1329"/>
        <w:gridCol w:w="1170"/>
        <w:gridCol w:w="1175"/>
        <w:gridCol w:w="211"/>
        <w:gridCol w:w="796"/>
        <w:gridCol w:w="109"/>
        <w:gridCol w:w="109"/>
        <w:gridCol w:w="109"/>
        <w:gridCol w:w="109"/>
        <w:gridCol w:w="211"/>
        <w:gridCol w:w="736"/>
        <w:gridCol w:w="109"/>
        <w:gridCol w:w="109"/>
        <w:gridCol w:w="109"/>
        <w:gridCol w:w="109"/>
        <w:gridCol w:w="211"/>
        <w:gridCol w:w="796"/>
        <w:gridCol w:w="109"/>
        <w:gridCol w:w="109"/>
        <w:gridCol w:w="109"/>
        <w:gridCol w:w="109"/>
        <w:gridCol w:w="211"/>
        <w:gridCol w:w="721"/>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360" w:before="20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software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(14,543)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17,780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(18,190)</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4,302</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360" w:before="200" w:after="283"/>
        <w:jc w:val="left"/>
        <w:rPr>
          <w:rFonts w:ascii="Arial;sans-serif" w:hAnsi="Arial;sans-serif"/>
          <w:b/>
          <w:color w:val="000000"/>
          <w:sz w:val="18"/>
        </w:rPr>
      </w:pPr>
      <w:r>
        <w:rPr>
          <w:rFonts w:ascii="Arial;sans-serif" w:hAnsi="Arial;sans-serif"/>
          <w:b/>
          <w:color w:val="000000"/>
          <w:sz w:val="18"/>
        </w:rPr>
        <w:t>About Albany International Corp.</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Albany International is a leading developer and manufacturer of engineered components, using advanced materials processing and automation capabilities, with two core businesses.</w:t>
      </w:r>
    </w:p>
    <w:p>
      <w:pPr>
        <w:pStyle w:val="TextBody"/>
        <w:bidi w:val="0"/>
        <w:spacing w:before="0" w:after="0"/>
        <w:jc w:val="both"/>
        <w:rPr/>
      </w:pPr>
      <w:r>
        <w:rPr/>
      </w:r>
    </w:p>
    <w:p>
      <w:pPr>
        <w:pStyle w:val="TextBody"/>
        <w:bidi w:val="0"/>
        <w:spacing w:lineRule="auto" w:line="256" w:before="0" w:after="0"/>
        <w:ind w:left="0" w:right="0" w:hanging="180"/>
        <w:jc w:val="both"/>
        <w:rPr>
          <w:color w:val="000000"/>
        </w:rPr>
      </w:pPr>
      <w:r>
        <w:rPr>
          <w:color w:val="000000"/>
        </w:rPr>
        <w:t xml:space="preserve">• </w:t>
      </w:r>
      <w:r>
        <w:rPr>
          <w:rFonts w:ascii="Arial;sans-serif" w:hAnsi="Arial;sans-serif"/>
          <w:b w:val="false"/>
          <w:color w:val="000000"/>
          <w:sz w:val="18"/>
        </w:rPr>
        <w:t>Machine Clothing is the world’s leading producer of custom-designed, consumable belts essential for the manufacture of paper, paperboard, tissue and towel, pulp, non-wovens and a variety of other industrial applications.</w:t>
      </w:r>
    </w:p>
    <w:p>
      <w:pPr>
        <w:pStyle w:val="TextBody"/>
        <w:bidi w:val="0"/>
        <w:spacing w:lineRule="auto" w:line="256" w:before="0" w:after="0"/>
        <w:ind w:left="0" w:right="0" w:hanging="180"/>
        <w:jc w:val="both"/>
        <w:rPr>
          <w:color w:val="000000"/>
        </w:rPr>
      </w:pPr>
      <w:r>
        <w:rPr>
          <w:color w:val="000000"/>
        </w:rPr>
        <w:t xml:space="preserve">• </w:t>
      </w:r>
      <w:r>
        <w:rPr>
          <w:rFonts w:ascii="Arial;sans-serif" w:hAnsi="Arial;sans-serif"/>
          <w:b w:val="false"/>
          <w:color w:val="000000"/>
          <w:sz w:val="18"/>
        </w:rPr>
        <w:t>Albany Engineered Composites is a growing designer and manufacturer of advanced materials-based engineered components for demanding aerospace applications, supporting both commercial and military platforms.</w:t>
      </w:r>
    </w:p>
    <w:p>
      <w:pPr>
        <w:pStyle w:val="TextBody"/>
        <w:bidi w:val="0"/>
        <w:spacing w:lineRule="auto" w:line="256" w:before="0" w:after="0"/>
        <w:ind w:left="0" w:right="0" w:hanging="180"/>
        <w:jc w:val="both"/>
        <w:rPr>
          <w:rFonts w:ascii="Arial;sans-serif" w:hAnsi="Arial;sans-serif"/>
          <w:b w:val="false"/>
          <w:color w:val="000000"/>
          <w:sz w:val="18"/>
        </w:rPr>
      </w:pPr>
      <w:r>
        <w:rPr>
          <w:rFonts w:ascii="Arial;sans-serif" w:hAnsi="Arial;sans-serif"/>
          <w:b w:val="false"/>
          <w:color w:val="000000"/>
          <w:sz w:val="18"/>
        </w:rPr>
        <w:t>.</w:t>
      </w:r>
    </w:p>
    <w:p>
      <w:pPr>
        <w:pStyle w:val="TextBody"/>
        <w:bidi w:val="0"/>
        <w:spacing w:lineRule="auto" w:line="256" w:before="0" w:after="0"/>
        <w:jc w:val="both"/>
        <w:rPr/>
      </w:pPr>
      <w:r>
        <w:rPr>
          <w:rFonts w:ascii="Arial;sans-serif" w:hAnsi="Arial;sans-serif"/>
          <w:b w:val="false"/>
          <w:color w:val="000000"/>
          <w:sz w:val="18"/>
        </w:rPr>
        <w:t xml:space="preserve">Albany International is headquartered in Portsmouth, New Hampshire, operates 25 facilities in 12 countries, employs approximately 5,700 people worldwide, and is listed on the New York Stock Exchange (Symbol AIN). Additional information about the Company and its products and services can be found at </w:t>
      </w:r>
      <w:r>
        <w:rPr>
          <w:rFonts w:ascii="Arial;sans-serif" w:hAnsi="Arial;sans-serif"/>
          <w:b w:val="false"/>
          <w:color w:val="0000FF"/>
          <w:sz w:val="18"/>
        </w:rPr>
        <w:t>www.albint.com</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18"/>
        </w:rPr>
      </w:pPr>
      <w:r>
        <w:rPr>
          <w:rFonts w:ascii="Arial;sans-serif" w:hAnsi="Arial;sans-serif"/>
          <w:b/>
          <w:color w:val="000000"/>
          <w:sz w:val="18"/>
        </w:rPr>
        <w:t>Non-GAAP Measures</w:t>
      </w:r>
    </w:p>
    <w:p>
      <w:pPr>
        <w:pStyle w:val="TextBody"/>
        <w:bidi w:val="0"/>
        <w:spacing w:before="0" w:after="0"/>
        <w:jc w:val="left"/>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This release, including the conference call commentary associated with this release, contains certain non-GAAP measures, that should not be considered in isolation or as a substitute for the related GAAP measures. Such non-GAAP measures include net revenues and percent change in net revenues, excluding the impact of currency translation effects; adjusted net revenues; Adjusted Gross profit/(loss); Adjusted Operating income/(loss);EBITDA, Adjusted EBITDA, and Adjusted EBITDA margin; Net debt; Net leverage ratio; Adjusted Net Income; and Adjusted Diluted earnings per share (or Adjusted EPS). Management believes that these non-GAAP measures provide additional useful information to investors regarding the Company’s operational performance. </w:t>
      </w:r>
    </w:p>
    <w:p>
      <w:pPr>
        <w:pStyle w:val="TextBody"/>
        <w:bidi w:val="0"/>
        <w:spacing w:before="0" w:after="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Presenting Net revenues and change in Net revenues, after currency effects are excluded, provides management and investors insight into underlying revenues trends. Net revenues, or percent changes in net revenues, excluding currency rate effects, are calculated by converting amounts reported in local currencies into U.S. dollars at the exchange rate of a prior period. These current year revenues converted at prior year rates are then compared to the U.S. dollar amount as reported in the prior period.</w:t>
      </w:r>
    </w:p>
    <w:p>
      <w:pPr>
        <w:pStyle w:val="TextBody"/>
        <w:bidi w:val="0"/>
        <w:spacing w:before="0" w:after="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revenues. </w:t>
      </w:r>
    </w:p>
    <w:p>
      <w:pPr>
        <w:pStyle w:val="TextBody"/>
        <w:bidi w:val="0"/>
        <w:spacing w:before="0" w:after="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Adjusted Net Income is a supplemental measure of our performance that is not required by, or presented in accordance with U.S. GAAP. The company defines Adjusted Net Income to exclude costs related to the review of strategic alternatives for its structures assembly business, which could include a potential sale of that portion of the business. Such excluded adjustments to profitability to future contracts do not consist of items that are considered normal or recurring in the course of continued business operations.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defines Adjusted EPS as diluted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 </w:t>
      </w:r>
    </w:p>
    <w:p>
      <w:pPr>
        <w:pStyle w:val="TextBody"/>
        <w:bidi w:val="0"/>
        <w:spacing w:before="0" w:after="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Adjusted EBITDA, Adjusted EBITDA margin, Adjusted Net Income, and Adjusted EPS may not be comparable to similarly titled measures of other companies. </w:t>
      </w:r>
    </w:p>
    <w:p>
      <w:pPr>
        <w:pStyle w:val="TextBody"/>
        <w:bidi w:val="0"/>
        <w:spacing w:before="0" w:after="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debt aids investors in understanding the Company’s debt position if all available cash were applied to pay down indebtedness. </w:t>
      </w:r>
    </w:p>
    <w:p>
      <w:pPr>
        <w:pStyle w:val="TextBody"/>
        <w:bidi w:val="0"/>
        <w:spacing w:before="0" w:after="0"/>
        <w:jc w:val="both"/>
        <w:rPr/>
      </w:pPr>
      <w:r>
        <w:rPr/>
      </w:r>
    </w:p>
    <w:p>
      <w:pPr>
        <w:pStyle w:val="TextBody"/>
        <w:bidi w:val="0"/>
        <w:spacing w:lineRule="auto" w:line="25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encourage investors to review our financial statements and publicly-filed reports in their entirety and not to rely on any single financial measure.</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This press release may contain statements, estimates, guidance or projections that constitute “forward-looking statements” as defined under U.S. federal securities laws. Generally, the words “believe,” “expect,” “intend,” “estimate,” “anticipate,” “project,” “will,” “should,” “look for,”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Quarterly Report on Form 10-Q), actual results may differ materially from those expressed or implied by such forward-looking statements.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Forward-looking statements in this release or in the webcast include, without limitation, statements about macroeconomic conditions, including inflationary cost pressures, as well as global events, which include but are not limited to geopolitical events; paper-industry trends and conditions during 2026 and in future years; expectations in 2026 and in future periods of revenues, Adjusted Net Revenues, EBITDA, Adjusted EBITDA (both in dollars and as a percentage of net revenues), Adjusted Net Income, Adjusted EPS, income, gross profit, gross margin, cash flows and other financial items in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Company’s businesses, and for the Company as a whole; the timing and impact of production and development programs in the Company’s AEC business segment and the revenues growth potential of key AEC programs, as well as AEC as a whole; the amount and timing of capital expenditures, future tax rates and cash paid for taxes, depreciation and amortization; future debt and net debt levels and debt covenant ratios; and changes in currency rates and their impact on future revaluation gains and losses. Furthermore, a change in any one or more of the foregoing factors could have a material effect on the Company’s financial results in any period. Such statements are based on current expectations, and the Company undertakes no obligation to publicly update or revise any forward-looking statements.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release and earlier releases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Investor 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Karen Blomquist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Director, Investor Relations </w:t>
      </w:r>
    </w:p>
    <w:p>
      <w:pPr>
        <w:pStyle w:val="TextBody"/>
        <w:bidi w:val="0"/>
        <w:spacing w:lineRule="auto" w:line="268" w:before="0" w:after="0"/>
        <w:jc w:val="left"/>
        <w:rPr/>
      </w:pPr>
      <w:r>
        <w:rPr>
          <w:rFonts w:ascii="Arial;sans-serif" w:hAnsi="Arial;sans-serif"/>
          <w:b/>
          <w:color w:val="000000"/>
          <w:sz w:val="20"/>
        </w:rPr>
        <w:t xml:space="preserve">Tel </w:t>
      </w: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 xml:space="preserve">603.330.2461 </w:t>
      </w:r>
    </w:p>
    <w:p>
      <w:pPr>
        <w:pStyle w:val="TextBody"/>
        <w:bidi w:val="0"/>
        <w:spacing w:lineRule="auto" w:line="268" w:before="0" w:after="0"/>
        <w:jc w:val="left"/>
        <w:rPr/>
      </w:pPr>
      <w:r>
        <w:rPr>
          <w:rFonts w:ascii="Arial;sans-serif" w:hAnsi="Arial;sans-serif"/>
          <w:b/>
          <w:color w:val="000000"/>
          <w:sz w:val="20"/>
        </w:rPr>
        <w:t>EMAIL</w:t>
      </w:r>
      <w:r>
        <w:rPr>
          <w:color w:val="000000"/>
        </w:rPr>
        <w:t xml:space="preserve"> </w:t>
      </w:r>
      <w:r>
        <w:rPr>
          <w:rFonts w:ascii="Arial;sans-serif" w:hAnsi="Arial;sans-serif"/>
          <w:b w:val="false"/>
          <w:color w:val="0000FF"/>
          <w:sz w:val="20"/>
        </w:rPr>
        <w:t>Karen.Blomquist@albint.com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Media 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Sheri Tripp</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Senior Manager, Corporate Communications and Marketing</w:t>
      </w:r>
    </w:p>
    <w:p>
      <w:pPr>
        <w:pStyle w:val="TextBody"/>
        <w:bidi w:val="0"/>
        <w:spacing w:lineRule="auto" w:line="268"/>
        <w:jc w:val="left"/>
        <w:rPr/>
      </w:pPr>
      <w:r>
        <w:rPr>
          <w:rFonts w:ascii="Arial;sans-serif" w:hAnsi="Arial;sans-serif"/>
          <w:b/>
          <w:color w:val="000000"/>
          <w:sz w:val="20"/>
        </w:rPr>
        <w:t xml:space="preserve">Tel </w:t>
      </w:r>
      <w:r>
        <w:rPr>
          <w:rFonts w:ascii="Arial;sans-serif" w:hAnsi="Arial;sans-serif"/>
          <w:b w:val="false"/>
          <w:color w:val="000000"/>
          <w:sz w:val="20"/>
        </w:rPr>
        <w:t xml:space="preserve">+1 603.330.8317 </w:t>
      </w:r>
      <w:r>
        <w:rPr>
          <w:rFonts w:ascii="Arial;sans-serif" w:hAnsi="Arial;sans-serif"/>
          <w:b/>
          <w:color w:val="000000"/>
          <w:sz w:val="20"/>
        </w:rPr>
        <w:t>EMAIL</w:t>
      </w:r>
      <w:r>
        <w:rPr>
          <w:color w:val="000000"/>
        </w:rPr>
        <w:t xml:space="preserve"> </w:t>
      </w:r>
      <w:r>
        <w:rPr>
          <w:rFonts w:ascii="Arial;sans-serif" w:hAnsi="Arial;sans-serif"/>
          <w:b w:val="false"/>
          <w:color w:val="0000FF"/>
          <w:sz w:val="20"/>
        </w:rPr>
        <w:t>Sheri.Tripp@albint.com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4752</Words>
  <Characters>27200</Characters>
  <CharactersWithSpaces>31350</CharactersWithSpaces>
  <Paragraphs>1154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