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5"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Date of Report:</w:t>
        <w:tab/>
        <w:t>October 28,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1144905</wp:posOffset>
            </wp:positionH>
            <wp:positionV relativeFrom="paragraph">
              <wp:posOffset>26670</wp:posOffset>
            </wp:positionV>
            <wp:extent cx="48431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43145" cy="1714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1-10026</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14-0462060</w:t>
            </w:r>
          </w:p>
        </w:tc>
      </w:tr>
      <w:tr>
        <w:trPr>
          <w:trHeight w:val="34"/>
        </w:trPr>
        <w:tc>
          <w:tcPr>
            <w:tcW w:w="38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25"/>
        </w:trPr>
        <w:tc>
          <w:tcPr>
            <w:tcW w:w="3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w:t>
            </w:r>
          </w:p>
        </w:tc>
        <w:tc>
          <w:tcPr>
            <w:tcW w:w="3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Number)</w:t>
            </w:r>
          </w:p>
        </w:tc>
        <w:tc>
          <w:tcPr>
            <w:tcW w:w="3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5"/>
        </w:trPr>
        <w:tc>
          <w:tcPr>
            <w:tcW w:w="7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325 Corporate Drive Portsmouth, New Hampshire</w:t>
            </w:r>
          </w:p>
        </w:tc>
        <w:tc>
          <w:tcPr>
            <w:tcW w:w="384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03801</w:t>
            </w:r>
          </w:p>
        </w:tc>
      </w:tr>
      <w:tr>
        <w:trPr>
          <w:trHeight w:val="243"/>
        </w:trPr>
        <w:tc>
          <w:tcPr>
            <w:tcW w:w="7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24"/>
        </w:trPr>
        <w:tc>
          <w:tcPr>
            <w:tcW w:w="3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603-330-5800</w:t>
            </w:r>
          </w:p>
        </w:tc>
        <w:tc>
          <w:tcPr>
            <w:tcW w:w="3840" w:type="dxa"/>
            <w:vAlign w:val="bottom"/>
          </w:tcPr>
          <w:p>
            <w:pPr>
              <w:spacing w:after="0"/>
              <w:rPr>
                <w:sz w:val="24"/>
                <w:szCs w:val="24"/>
                <w:color w:val="auto"/>
              </w:rPr>
            </w:pPr>
          </w:p>
        </w:tc>
      </w:tr>
    </w:tbl>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42"/>
        </w:trPr>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7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34"/>
        </w:trPr>
        <w:tc>
          <w:tcPr>
            <w:tcW w:w="34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5"/>
        </w:trPr>
        <w:tc>
          <w:tcPr>
            <w:tcW w:w="470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9"/>
              </w:rPr>
              <w:t>Class A Common Stock, $0.001 par value per</w:t>
            </w:r>
          </w:p>
        </w:tc>
        <w:tc>
          <w:tcPr>
            <w:tcW w:w="30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AIN</w:t>
            </w:r>
          </w:p>
        </w:tc>
        <w:tc>
          <w:tcPr>
            <w:tcW w:w="3500" w:type="dxa"/>
            <w:vAlign w:val="bottom"/>
          </w:tcPr>
          <w:p>
            <w:pPr>
              <w:spacing w:after="0"/>
              <w:rPr>
                <w:sz w:val="19"/>
                <w:szCs w:val="19"/>
                <w:color w:val="auto"/>
              </w:rPr>
            </w:pPr>
          </w:p>
        </w:tc>
      </w:tr>
      <w:tr>
        <w:trPr>
          <w:trHeight w:val="234"/>
        </w:trPr>
        <w:tc>
          <w:tcPr>
            <w:tcW w:w="470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9"/>
              </w:rPr>
              <w:t>share</w:t>
            </w:r>
          </w:p>
        </w:tc>
        <w:tc>
          <w:tcPr>
            <w:tcW w:w="2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 (NYSE)</w:t>
            </w:r>
          </w:p>
        </w:tc>
      </w:tr>
    </w:tbl>
    <w:p>
      <w:pPr>
        <w:spacing w:after="0" w:line="33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1933 (230.405 of this chapter) or Rule 12b-2 of the Securities Exchange Act of 1934 (240.12b-2 of this chapter).</w:t>
      </w:r>
    </w:p>
    <w:p>
      <w:pPr>
        <w:spacing w:after="0" w:line="121"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84" w:lineRule="exact"/>
        <w:rPr>
          <w:rFonts w:ascii="MS PGothic" w:cs="MS PGothic" w:eastAsia="MS PGothic" w:hAnsi="MS PGothic"/>
          <w:sz w:val="18"/>
          <w:szCs w:val="18"/>
          <w:color w:val="auto"/>
        </w:rPr>
      </w:pPr>
    </w:p>
    <w:p>
      <w:pPr>
        <w:ind w:left="340" w:right="80" w:hanging="332"/>
        <w:spacing w:after="0" w:line="282" w:lineRule="auto"/>
        <w:tabs>
          <w:tab w:leader="none" w:pos="43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28, 2026 Albany International issued a news release reporting third-quarter 2026 financial results. The Company will host a webcast to discuss earnings at 9:00 a.m. Eastern Time on Thursday October 29, 2026. The news release is furnished as Exhibit 99.1 to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 is being furnished herewith:</w:t>
      </w:r>
    </w:p>
    <w:p>
      <w:pPr>
        <w:spacing w:after="0" w:line="198" w:lineRule="exact"/>
        <w:rPr>
          <w:sz w:val="20"/>
          <w:szCs w:val="20"/>
          <w:color w:val="auto"/>
        </w:rPr>
      </w:pPr>
    </w:p>
    <w:p>
      <w:pPr>
        <w:ind w:left="900"/>
        <w:spacing w:after="0"/>
        <w:tabs>
          <w:tab w:leader="none" w:pos="13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News release dated October 28, 2026 reporting third-quarter 2026 financial results.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ALBANY INTERNATIONAL CORP.</w:t>
      </w:r>
    </w:p>
    <w:p>
      <w:pPr>
        <w:spacing w:after="0" w:line="270" w:lineRule="exact"/>
        <w:rPr>
          <w:sz w:val="20"/>
          <w:szCs w:val="20"/>
          <w:color w:val="auto"/>
        </w:rPr>
      </w:pPr>
    </w:p>
    <w:p>
      <w:pPr>
        <w:ind w:left="538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Arial" w:cs="Arial" w:eastAsia="Arial" w:hAnsi="Arial"/>
          <w:sz w:val="16"/>
          <w:szCs w:val="16"/>
          <w:color w:val="auto"/>
        </w:rPr>
        <w:t>/s/ Sean Valashinas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34290</wp:posOffset>
            </wp:positionV>
            <wp:extent cx="20142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46" w:lineRule="exact"/>
        <w:rPr>
          <w:sz w:val="20"/>
          <w:szCs w:val="20"/>
          <w:color w:val="auto"/>
        </w:rPr>
      </w:pPr>
    </w:p>
    <w:p>
      <w:pPr>
        <w:ind w:left="5380"/>
        <w:spacing w:after="0"/>
        <w:tabs>
          <w:tab w:leader="none" w:pos="60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Arial" w:cs="Arial" w:eastAsia="Arial" w:hAnsi="Arial"/>
          <w:sz w:val="16"/>
          <w:szCs w:val="16"/>
          <w:color w:val="auto"/>
        </w:rPr>
        <w:t>Sean Valashinas</w:t>
      </w:r>
    </w:p>
    <w:p>
      <w:pPr>
        <w:spacing w:after="0" w:line="63" w:lineRule="exact"/>
        <w:rPr>
          <w:sz w:val="20"/>
          <w:szCs w:val="20"/>
          <w:color w:val="auto"/>
        </w:rPr>
      </w:pPr>
    </w:p>
    <w:p>
      <w:pPr>
        <w:ind w:left="5380"/>
        <w:spacing w:after="0"/>
        <w:tabs>
          <w:tab w:leader="none" w:pos="6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Arial" w:cs="Arial" w:eastAsia="Arial" w:hAnsi="Arial"/>
          <w:sz w:val="16"/>
          <w:szCs w:val="16"/>
          <w:color w:val="auto"/>
        </w:rPr>
        <w:t>Acting Chief Financial Officer, Controller and Chief Accounting Officer</w:t>
      </w:r>
    </w:p>
    <w:p>
      <w:pPr>
        <w:spacing w:after="0" w:line="67"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1"/>
        </w:trPr>
        <w:tc>
          <w:tcPr>
            <w:tcW w:w="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0" w:type="dxa"/>
            <w:vAlign w:val="bottom"/>
            <w:tcBorders>
              <w:top w:val="single" w:sz="8" w:color="auto"/>
            </w:tcBorders>
          </w:tcPr>
          <w:p>
            <w:pPr>
              <w:spacing w:after="0"/>
              <w:rPr>
                <w:sz w:val="24"/>
                <w:szCs w:val="24"/>
                <w:color w:val="auto"/>
              </w:rPr>
            </w:pPr>
          </w:p>
        </w:tc>
        <w:tc>
          <w:tcPr>
            <w:tcW w:w="4920" w:type="dxa"/>
            <w:vAlign w:val="bottom"/>
            <w:gridSpan w:val="2"/>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21"/>
                <w:szCs w:val="21"/>
                <w:color w:val="auto"/>
              </w:rPr>
            </w:pPr>
          </w:p>
        </w:tc>
        <w:tc>
          <w:tcPr>
            <w:tcW w:w="5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News release dated October 28, 2026 reporting third-quarter 2026 financial results.</w:t>
            </w:r>
          </w:p>
        </w:tc>
        <w:tc>
          <w:tcPr>
            <w:tcW w:w="3780" w:type="dxa"/>
            <w:vAlign w:val="bottom"/>
          </w:tcPr>
          <w:p>
            <w:pPr>
              <w:spacing w:after="0"/>
              <w:rPr>
                <w:sz w:val="21"/>
                <w:szCs w:val="21"/>
                <w:color w:val="auto"/>
              </w:rPr>
            </w:pPr>
          </w:p>
        </w:tc>
      </w:tr>
      <w:tr>
        <w:trPr>
          <w:trHeight w:val="318"/>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cover page.</w:t>
            </w:r>
          </w:p>
        </w:tc>
      </w:tr>
      <w:tr>
        <w:trPr>
          <w:trHeight w:val="1465"/>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412750</wp:posOffset>
            </wp:positionV>
            <wp:extent cx="2400300" cy="857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3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Albany International Reports Third-Quarter 2026 Results</w:t>
      </w:r>
    </w:p>
    <w:p>
      <w:pPr>
        <w:spacing w:after="0" w:line="200" w:lineRule="exact"/>
        <w:rPr>
          <w:sz w:val="20"/>
          <w:szCs w:val="20"/>
          <w:color w:val="auto"/>
        </w:rPr>
      </w:pPr>
    </w:p>
    <w:p>
      <w:pPr>
        <w:spacing w:after="0" w:line="22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Q3 2026 net revenue of $349.5 million, up 34% compared to $261.4 million in Q3 2025.</w:t>
      </w:r>
    </w:p>
    <w:p>
      <w:pPr>
        <w:spacing w:after="0" w:line="238" w:lineRule="exact"/>
        <w:rPr>
          <w:rFonts w:ascii="Arial" w:cs="Arial" w:eastAsia="Arial" w:hAnsi="Arial"/>
          <w:sz w:val="18"/>
          <w:szCs w:val="18"/>
          <w:color w:val="auto"/>
        </w:rPr>
      </w:pPr>
    </w:p>
    <w:p>
      <w:pPr>
        <w:ind w:left="660" w:right="60" w:hanging="328"/>
        <w:spacing w:after="0" w:line="27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8"/>
          <w:szCs w:val="18"/>
          <w:color w:val="auto"/>
        </w:rPr>
        <w:t>Q3 2026 net income attributable to the Company of $41.7 million, or diluted earnings per share (EPS) of $1.46, compared to net loss of $(97.8) million, or diluted loss per share of $(3.37), in the prior year.</w:t>
      </w:r>
    </w:p>
    <w:p>
      <w:pPr>
        <w:spacing w:after="0" w:line="194" w:lineRule="exact"/>
        <w:rPr>
          <w:rFonts w:ascii="Arial" w:cs="Arial" w:eastAsia="Arial" w:hAnsi="Arial"/>
          <w:sz w:val="16"/>
          <w:szCs w:val="16"/>
          <w:color w:val="auto"/>
        </w:rPr>
      </w:pPr>
    </w:p>
    <w:p>
      <w:pPr>
        <w:ind w:left="660" w:hanging="328"/>
        <w:spacing w:after="0" w:line="287"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8"/>
          <w:szCs w:val="18"/>
          <w:color w:val="auto"/>
        </w:rPr>
        <w:t>Adjusted EBITDA of $100.1 million in Q3 2026 and adjusted diluted earnings (loss) per share of $1.68, compared to $(91.1) million and $(3.29) in Q3 2025.</w:t>
      </w:r>
    </w:p>
    <w:p>
      <w:pPr>
        <w:spacing w:after="0" w:line="179"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Q3 2026 positive free cash flow of $36.5 million.</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Paid $7.9 million in dividends and invested $12.2 million in capital in the third quarter, continuing the commitment of balanced capital allocation.</w:t>
      </w:r>
    </w:p>
    <w:p>
      <w:pPr>
        <w:spacing w:after="0" w:line="207" w:lineRule="exact"/>
        <w:rPr>
          <w:sz w:val="20"/>
          <w:szCs w:val="20"/>
          <w:color w:val="auto"/>
        </w:rPr>
      </w:pPr>
    </w:p>
    <w:p>
      <w:pPr>
        <w:jc w:val="both"/>
        <w:spacing w:after="0" w:line="350" w:lineRule="auto"/>
        <w:rPr>
          <w:sz w:val="20"/>
          <w:szCs w:val="20"/>
          <w:color w:val="auto"/>
        </w:rPr>
      </w:pPr>
      <w:r>
        <w:rPr>
          <w:rFonts w:ascii="Arial" w:cs="Arial" w:eastAsia="Arial" w:hAnsi="Arial"/>
          <w:sz w:val="18"/>
          <w:szCs w:val="18"/>
          <w:b w:val="1"/>
          <w:bCs w:val="1"/>
          <w:color w:val="auto"/>
        </w:rPr>
        <w:t xml:space="preserve">PORTSMOUTH, N.H.--(BUSINESS WIRE)--October 28, 2026 </w:t>
      </w:r>
      <w:r>
        <w:rPr>
          <w:rFonts w:ascii="Arial" w:cs="Arial" w:eastAsia="Arial" w:hAnsi="Arial"/>
          <w:sz w:val="18"/>
          <w:szCs w:val="18"/>
          <w:color w:val="auto"/>
        </w:rPr>
        <w:t>— Albany International Corp. (NYSE:AIN) today reported operating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its third quarter of 2026, which ended September 30, 2026.</w:t>
      </w:r>
    </w:p>
    <w:p>
      <w:pPr>
        <w:spacing w:after="0" w:line="179"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Gunnar Kleveland, Albany International’s President and Chief Executive Officer, said, “I'm incredibly proud of the performance of the team in the third quarter. The team, with Engineered Composites leading the way, was able to favorably finalize the strategic review of our Amelia Earhart Drive facility in under a year and end the quarter with solid performance. We are now able to shift from addressing legacy challenges to focusing decisively on future opportunities across aerospace and defense; such as missiles, hypersonics, space, and next generation aircraft applications."</w:t>
      </w:r>
    </w:p>
    <w:p>
      <w:pPr>
        <w:spacing w:after="0" w:line="204" w:lineRule="exact"/>
        <w:rPr>
          <w:sz w:val="20"/>
          <w:szCs w:val="20"/>
          <w:color w:val="auto"/>
        </w:rPr>
      </w:pPr>
    </w:p>
    <w:p>
      <w:pPr>
        <w:jc w:val="both"/>
        <w:spacing w:after="0" w:line="325" w:lineRule="auto"/>
        <w:rPr>
          <w:sz w:val="20"/>
          <w:szCs w:val="20"/>
          <w:color w:val="auto"/>
        </w:rPr>
      </w:pPr>
      <w:r>
        <w:rPr>
          <w:rFonts w:ascii="Arial" w:cs="Arial" w:eastAsia="Arial" w:hAnsi="Arial"/>
          <w:sz w:val="18"/>
          <w:szCs w:val="18"/>
          <w:color w:val="auto"/>
        </w:rPr>
        <w:t>Kleveland continued, “In Machine Clothing, our team navigated a dynamic market environment and delivered sales at the high-end of expectations, reflecting the resilience of the business and the strength of our team. Taken together, our performance reflects the progress we have made to optimize Albany’s operating model and reduce risk across our portfolio. We are pleased with the performance across the organization and look forward to updating investors on our path forward at our upcoming investor day in December.”</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w:t>
      </w:r>
    </w:p>
    <w:p>
      <w:pPr>
        <w:spacing w:after="0" w:line="302" w:lineRule="exact"/>
        <w:rPr>
          <w:sz w:val="20"/>
          <w:szCs w:val="20"/>
          <w:color w:val="auto"/>
        </w:rPr>
      </w:pPr>
    </w:p>
    <w:p>
      <w:pPr>
        <w:jc w:val="both"/>
        <w:ind w:right="20"/>
        <w:spacing w:after="0" w:line="367" w:lineRule="auto"/>
        <w:rPr>
          <w:sz w:val="20"/>
          <w:szCs w:val="20"/>
          <w:color w:val="auto"/>
        </w:rPr>
      </w:pPr>
      <w:r>
        <w:rPr>
          <w:rFonts w:ascii="Arial" w:cs="Arial" w:eastAsia="Arial" w:hAnsi="Arial"/>
          <w:sz w:val="16"/>
          <w:szCs w:val="16"/>
          <w:b w:val="1"/>
          <w:bCs w:val="1"/>
          <w:color w:val="auto"/>
        </w:rPr>
        <w:t>Summary of adjustments related to the renegotiation of the CH-53K contract and the conclusion of the Amelia Earhart Drive Strategic Review in the third quarter of 2026, and the CH-53K loss reserve adjustment recorded in the third quarter of 2025.</w:t>
      </w:r>
    </w:p>
    <w:p>
      <w:pPr>
        <w:spacing w:after="0" w:line="200" w:lineRule="exact"/>
        <w:rPr>
          <w:sz w:val="20"/>
          <w:szCs w:val="20"/>
          <w:color w:val="auto"/>
        </w:rPr>
      </w:pPr>
    </w:p>
    <w:p>
      <w:pPr>
        <w:spacing w:after="0" w:line="24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Amelia Earhart Drive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amounts)</w:t>
            </w:r>
          </w:p>
        </w:tc>
        <w:tc>
          <w:tcPr>
            <w:tcW w:w="19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Q3 2026 Contribution</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Q3 2025 Reduction</w:t>
            </w:r>
          </w:p>
        </w:tc>
      </w:tr>
      <w:tr>
        <w:trPr>
          <w:trHeight w:val="344"/>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11,637</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(46,007)</w:t>
            </w:r>
          </w:p>
        </w:tc>
      </w:tr>
      <w:tr>
        <w:trPr>
          <w:trHeight w:val="324"/>
        </w:trPr>
        <w:tc>
          <w:tcPr>
            <w:tcW w:w="5000" w:type="dxa"/>
            <w:vAlign w:val="bottom"/>
          </w:tcPr>
          <w:p>
            <w:pPr>
              <w:ind w:left="20"/>
              <w:spacing w:after="0"/>
              <w:rPr>
                <w:sz w:val="20"/>
                <w:szCs w:val="20"/>
                <w:color w:val="auto"/>
              </w:rPr>
            </w:pPr>
            <w:r>
              <w:rPr>
                <w:rFonts w:ascii="Arial" w:cs="Arial" w:eastAsia="Arial" w:hAnsi="Arial"/>
                <w:sz w:val="16"/>
                <w:szCs w:val="16"/>
                <w:color w:val="auto"/>
              </w:rPr>
              <w:t>Gross Margin</w:t>
            </w:r>
            <w:r>
              <w:rPr>
                <w:rFonts w:ascii="Arial" w:cs="Arial" w:eastAsia="Arial" w:hAnsi="Arial"/>
                <w:sz w:val="21"/>
                <w:szCs w:val="21"/>
                <w:color w:val="auto"/>
                <w:vertAlign w:val="superscript"/>
              </w:rPr>
              <w:t>1</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33,393</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(147,269)</w:t>
            </w: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44,407</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(147,269)</w:t>
            </w:r>
          </w:p>
        </w:tc>
      </w:tr>
      <w:tr>
        <w:trPr>
          <w:trHeight w:val="216"/>
        </w:trPr>
        <w:tc>
          <w:tcPr>
            <w:tcW w:w="50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Diluted Earnings Per Share</w:t>
            </w:r>
            <w:r>
              <w:rPr>
                <w:rFonts w:ascii="Arial" w:cs="Arial" w:eastAsia="Arial" w:hAnsi="Arial"/>
                <w:sz w:val="21"/>
                <w:szCs w:val="21"/>
                <w:color w:val="auto"/>
                <w:vertAlign w:val="superscript"/>
              </w:rPr>
              <w:t>2</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0.88</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r>
    </w:tbl>
    <w:p>
      <w:pPr>
        <w:spacing w:after="0" w:line="44" w:lineRule="exact"/>
        <w:rPr>
          <w:sz w:val="20"/>
          <w:szCs w:val="20"/>
          <w:color w:val="auto"/>
        </w:rPr>
      </w:pPr>
    </w:p>
    <w:p>
      <w:pPr>
        <w:ind w:left="100" w:hanging="92"/>
        <w:spacing w:after="0"/>
        <w:tabs>
          <w:tab w:leader="none" w:pos="100"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Q3 2026 includes CH-53K impact of $44.4 million offset by catch-up of depreciation and amortization of $(11.0) million</w:t>
      </w:r>
    </w:p>
    <w:p>
      <w:pPr>
        <w:spacing w:after="0"/>
        <w:rPr>
          <w:rFonts w:ascii="Arial" w:cs="Arial" w:eastAsia="Arial" w:hAnsi="Arial"/>
          <w:sz w:val="21"/>
          <w:szCs w:val="21"/>
          <w:i w:val="1"/>
          <w:iCs w:val="1"/>
          <w:color w:val="auto"/>
          <w:vertAlign w:val="superscript"/>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 xml:space="preserve"> Q3 2026 Diluted EPS impact includes a tax effect of $8.3 million</w:t>
      </w:r>
    </w:p>
    <w:p>
      <w:pPr>
        <w:spacing w:after="0" w:line="197" w:lineRule="exact"/>
        <w:rPr>
          <w:sz w:val="20"/>
          <w:szCs w:val="20"/>
          <w:color w:val="auto"/>
        </w:rPr>
      </w:pPr>
    </w:p>
    <w:p>
      <w:pPr>
        <w:ind w:right="60"/>
        <w:spacing w:after="0" w:line="331" w:lineRule="auto"/>
        <w:rPr>
          <w:sz w:val="20"/>
          <w:szCs w:val="20"/>
          <w:color w:val="auto"/>
        </w:rPr>
      </w:pPr>
      <w:r>
        <w:rPr>
          <w:rFonts w:ascii="Arial" w:cs="Arial" w:eastAsia="Arial" w:hAnsi="Arial"/>
          <w:sz w:val="18"/>
          <w:szCs w:val="18"/>
          <w:color w:val="auto"/>
        </w:rPr>
        <w:t>The Company’s net revenues were $349.5 million in the third quarter of 2026, compared to $261.4 million in the prior year. The increase was primarily driven by higher volume in the Engineered Composites business and approximately $11.6 million in positive program adjustments resulting from the renegotiation of the CH-53K contract.</w:t>
      </w:r>
    </w:p>
    <w:p>
      <w:pPr>
        <w:spacing w:after="0" w:line="197"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Gross profit (loss) in the third quarter of 2026 was $140.4 million compared to $(49.9) million reported for the same period of 2025, which reflects the $33.4 million favorable adjustment following the contract modifications to the CH-53K program, offset by the catch-up of depreciation and amortization, combined with higher volume and margin in Engineered Composites. These positive impacts were partially offset by lower volume, geographical mix, and lower fixed cost absorption in Machine Clothing. In the prior year, results were impacted by a $147.3 million unfavorable adjustment due to cost increases related to the CH-53K program. Selling, general, and administrative expenses were $61.5 million in the third quarter of 2026, compared to $51.9 million in the same period of 2025, driven primarily by increased compensation costs, and costs associated with the Strategic Review. In the third quarter of 2026, restructuring was higher than the prior year due to ongoing footprint optimization efforts in Machine Clothing.</w:t>
      </w:r>
    </w:p>
    <w:p>
      <w:pPr>
        <w:spacing w:after="0" w:line="209" w:lineRule="exact"/>
        <w:rPr>
          <w:sz w:val="20"/>
          <w:szCs w:val="20"/>
          <w:color w:val="auto"/>
        </w:rPr>
      </w:pPr>
    </w:p>
    <w:p>
      <w:pPr>
        <w:ind w:right="580"/>
        <w:spacing w:after="0" w:line="350" w:lineRule="auto"/>
        <w:rPr>
          <w:sz w:val="20"/>
          <w:szCs w:val="20"/>
          <w:color w:val="auto"/>
        </w:rPr>
      </w:pPr>
      <w:r>
        <w:rPr>
          <w:rFonts w:ascii="Arial" w:cs="Arial" w:eastAsia="Arial" w:hAnsi="Arial"/>
          <w:sz w:val="18"/>
          <w:szCs w:val="18"/>
          <w:color w:val="auto"/>
        </w:rPr>
        <w:t>Operating income was $59.4 million, compared with an operating loss of $(116.5) million in the prior year, primarily reflecting improved profitability on the CH-53K program, including the reversal of previously recognized loss provisions.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quarter was 24.9% compared to a 20.0% effective tax benefit in the third quarter of 2025.</w:t>
      </w:r>
    </w:p>
    <w:p>
      <w:pPr>
        <w:spacing w:after="0" w:line="306"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The net income (loss) attributable to the Company was $41.7 million, or $1.46 per share on a diluted basis, compared to $(97.8) million, or $(3.37) per share in the third quarter of 2025.</w:t>
      </w:r>
    </w:p>
    <w:p>
      <w:pPr>
        <w:spacing w:after="0" w:line="179" w:lineRule="exact"/>
        <w:rPr>
          <w:sz w:val="20"/>
          <w:szCs w:val="20"/>
          <w:color w:val="auto"/>
        </w:rPr>
      </w:pPr>
    </w:p>
    <w:p>
      <w:pPr>
        <w:jc w:val="both"/>
        <w:spacing w:after="0" w:line="331" w:lineRule="auto"/>
        <w:rPr>
          <w:sz w:val="20"/>
          <w:szCs w:val="20"/>
          <w:color w:val="auto"/>
        </w:rPr>
      </w:pPr>
      <w:r>
        <w:rPr>
          <w:rFonts w:ascii="Arial" w:cs="Arial" w:eastAsia="Arial" w:hAnsi="Arial"/>
          <w:sz w:val="18"/>
          <w:szCs w:val="18"/>
          <w:color w:val="auto"/>
        </w:rPr>
        <w:t>Adjusted diluted earnings (loss) per share (or Adjusted EPS, a non-GAAP measure) was $1.68 per share, compared to $(3.29) per share for the same period of last year. Adjusted results for the third quarter of 2026 exclude third-party costs related to the conclusion of the Strategic Review.</w:t>
      </w:r>
    </w:p>
    <w:p>
      <w:pPr>
        <w:spacing w:after="0" w:line="197"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Adjusted EBITDA (a non-GAAP measure) was $100.1 million and had a $44.4 million benefit related to the conclusion of the Strategic Review which resulted in contract modifications to the CH-53K program as well as stronger revenue and operating profit in Engineered Composites. This compares to $(91.1) million in the third quarter of 2025 which was negatively impacted by $(147.3) million related to the CH-53K loss reserve adjustment recorded at the initiation of the Strategic Review. Adjusted EBITDA margin was 28.6% and (34.8)% in the prior year.</w:t>
      </w:r>
    </w:p>
    <w:p>
      <w:pPr>
        <w:spacing w:after="0" w:line="204" w:lineRule="exact"/>
        <w:rPr>
          <w:sz w:val="20"/>
          <w:szCs w:val="20"/>
          <w:color w:val="auto"/>
        </w:rPr>
      </w:pPr>
    </w:p>
    <w:p>
      <w:pPr>
        <w:jc w:val="both"/>
        <w:spacing w:after="0" w:line="331" w:lineRule="auto"/>
        <w:rPr>
          <w:sz w:val="20"/>
          <w:szCs w:val="20"/>
          <w:color w:val="auto"/>
        </w:rPr>
      </w:pPr>
      <w:r>
        <w:rPr>
          <w:rFonts w:ascii="Arial" w:cs="Arial" w:eastAsia="Arial" w:hAnsi="Arial"/>
          <w:sz w:val="18"/>
          <w:szCs w:val="18"/>
          <w:color w:val="auto"/>
        </w:rPr>
        <w:t>Sean Valashinas, Albany International’s Acting Chief Financial Officer, said, “As we look at the quarter following the conclusion of the Strategic Review, the underlying performance of the business was solid. In Engineered Composites, we continued to see strength across multiple programs, as production ramps and volumes scale. In</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jc w:val="both"/>
        <w:spacing w:after="0" w:line="350" w:lineRule="auto"/>
        <w:rPr>
          <w:sz w:val="20"/>
          <w:szCs w:val="20"/>
          <w:color w:val="auto"/>
        </w:rPr>
      </w:pPr>
      <w:r>
        <w:rPr>
          <w:rFonts w:ascii="Arial" w:cs="Arial" w:eastAsia="Arial" w:hAnsi="Arial"/>
          <w:sz w:val="18"/>
          <w:szCs w:val="18"/>
          <w:color w:val="auto"/>
        </w:rPr>
        <w:t>Machine Clothing, we saw continued stability, with steady conditions in Asia, improving volumes in Europe, and market share holding firm as end markets adapted to current demand levels.”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306"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Machine Clothing's net revenues decreased 3.0% after adjusting for currency translation, primarily driven by cyclical declines in the Americas.</w:t>
      </w:r>
    </w:p>
    <w:p>
      <w:pPr>
        <w:spacing w:after="0" w:line="179"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Machine Clothing’s adjusted EBITDA margin was 27.2%, compared to 31.0% in the third quarter of 2025. The margin decline is primarily driven by volume and geographic mix.</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Composites</w:t>
      </w:r>
    </w:p>
    <w:p>
      <w:pPr>
        <w:spacing w:after="0" w:line="306" w:lineRule="exact"/>
        <w:rPr>
          <w:sz w:val="20"/>
          <w:szCs w:val="20"/>
          <w:color w:val="auto"/>
        </w:rPr>
      </w:pPr>
    </w:p>
    <w:p>
      <w:pPr>
        <w:jc w:val="both"/>
        <w:spacing w:after="0" w:line="331" w:lineRule="auto"/>
        <w:rPr>
          <w:sz w:val="20"/>
          <w:szCs w:val="20"/>
          <w:color w:val="auto"/>
        </w:rPr>
      </w:pPr>
      <w:r>
        <w:rPr>
          <w:rFonts w:ascii="Arial" w:cs="Arial" w:eastAsia="Arial" w:hAnsi="Arial"/>
          <w:sz w:val="18"/>
          <w:szCs w:val="18"/>
          <w:color w:val="auto"/>
        </w:rPr>
        <w:t>Engineered Composites' net revenues increased 107.0% after adjusting for currency translation, driven by strength across commercial and defense programs, most notably on the commercial side within the LEAP program, and on the defense side under the CH-53K and missile programs.</w:t>
      </w:r>
    </w:p>
    <w:p>
      <w:pPr>
        <w:spacing w:after="0" w:line="197" w:lineRule="exact"/>
        <w:rPr>
          <w:sz w:val="20"/>
          <w:szCs w:val="20"/>
          <w:color w:val="auto"/>
        </w:rPr>
      </w:pPr>
    </w:p>
    <w:p>
      <w:pPr>
        <w:jc w:val="both"/>
        <w:spacing w:after="0" w:line="331" w:lineRule="auto"/>
        <w:rPr>
          <w:sz w:val="20"/>
          <w:szCs w:val="20"/>
          <w:color w:val="auto"/>
        </w:rPr>
      </w:pPr>
      <w:r>
        <w:rPr>
          <w:rFonts w:ascii="Arial" w:cs="Arial" w:eastAsia="Arial" w:hAnsi="Arial"/>
          <w:sz w:val="18"/>
          <w:szCs w:val="18"/>
          <w:color w:val="auto"/>
        </w:rPr>
        <w:t>Adjusted EBITDA margin was 36.5%, compared to (155.5)% in the third quarter of 2025. The year-over-year change in segment Adjusted EBITDA margin largely reflects the impact of adjustments following the contract modification on the CH-53K program. The segment also benefited from higher underlying volume and improved efficiency.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 Balance Sheet</w:t>
      </w:r>
    </w:p>
    <w:p>
      <w:pPr>
        <w:spacing w:after="0" w:line="306"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Free cash flow in the third quarter was approximately $36.5 million compared to approximately $25.7 million in the prior year. Capital expenditures were $12.2 million, compared to $18.3 million in the third quarter of 2025, and were driven primarily by efficiencies achieved through facility optimizations. Technical and research expenses totaled $12.2 million, compared to $11.5 million in the third quarter of 2025, consistent with the Company’s commitment to advancing proprietary technologies and supporting long-term growth in both Machine Clothing and Engineered Composites.</w:t>
      </w:r>
    </w:p>
    <w:p>
      <w:pPr>
        <w:spacing w:after="0" w:line="204" w:lineRule="exact"/>
        <w:rPr>
          <w:sz w:val="20"/>
          <w:szCs w:val="20"/>
          <w:color w:val="auto"/>
        </w:rPr>
      </w:pPr>
    </w:p>
    <w:p>
      <w:pPr>
        <w:jc w:val="both"/>
        <w:spacing w:after="0" w:line="331" w:lineRule="auto"/>
        <w:rPr>
          <w:sz w:val="20"/>
          <w:szCs w:val="20"/>
          <w:color w:val="auto"/>
        </w:rPr>
      </w:pPr>
      <w:r>
        <w:rPr>
          <w:rFonts w:ascii="Arial" w:cs="Arial" w:eastAsia="Arial" w:hAnsi="Arial"/>
          <w:sz w:val="18"/>
          <w:szCs w:val="18"/>
          <w:color w:val="auto"/>
        </w:rPr>
        <w:t>Albany ended the quarter with cash and cash equivalents of $79.1 million and total debt of $422.1 million, resulting in a net debt position of $343.0 million. The Company maintains significant financial flexibility and liquidity to support ongoing investment initiatives while continuing to return capital to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Revised Outlook for the Fourth Quarter of 2026</w:t>
      </w:r>
    </w:p>
    <w:p>
      <w:pPr>
        <w:spacing w:after="0" w:line="30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net revenue between $325 million and $335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Machine Clothing net revenue between $170 million and $175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Engineered Composites net revenue between $155 million and $160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EPS between $0.65 and $0.75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Revised fourth-quarter effective tax rate of 29.5%, vs. previous estimate of 31.5%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Third-Quarter 2026 Results Conference Call/Webcast</w:t>
      </w:r>
    </w:p>
    <w:p>
      <w:pPr>
        <w:spacing w:after="0" w:line="63" w:lineRule="exact"/>
        <w:rPr>
          <w:sz w:val="20"/>
          <w:szCs w:val="20"/>
          <w:color w:val="auto"/>
        </w:rPr>
      </w:pPr>
    </w:p>
    <w:p>
      <w:pPr>
        <w:ind w:right="320"/>
        <w:spacing w:after="0" w:line="331" w:lineRule="auto"/>
        <w:rPr>
          <w:sz w:val="20"/>
          <w:szCs w:val="20"/>
          <w:color w:val="auto"/>
        </w:rPr>
      </w:pPr>
      <w:r>
        <w:rPr>
          <w:rFonts w:ascii="Arial" w:cs="Arial" w:eastAsia="Arial" w:hAnsi="Arial"/>
          <w:sz w:val="18"/>
          <w:szCs w:val="18"/>
          <w:color w:val="auto"/>
        </w:rPr>
        <w:t>The Company will host a webcast to discuss results at 9:00 a.m. Eastern Time on Thursday, October 29, 2026. Interested parties are encouraged to listen to the live webcast via the Company’s Investor Relations website at investors.albint.com or by registering via the link here. The event can also be accessed by dialing +1 (833) 461-5787 and using the Meeting ID: 551 970 689.</w:t>
      </w:r>
    </w:p>
    <w:p>
      <w:pPr>
        <w:sectPr>
          <w:pgSz w:w="11900" w:h="16838" w:orient="portrait"/>
          <w:cols w:equalWidth="0" w:num="1">
            <w:col w:w="11240"/>
          </w:cols>
          <w:pgMar w:left="320" w:top="9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An archive of the webcast will be available for replay on the website at approximately noon Eastern Time on Thursday, October 29, 2026.</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color w:val="auto"/>
        </w:rPr>
        <w:t>ALBANY INTERNATIONAL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40" w:type="dxa"/>
            <w:vAlign w:val="bottom"/>
            <w:gridSpan w:val="4"/>
          </w:tcPr>
          <w:p>
            <w:pPr>
              <w:jc w:val="right"/>
              <w:ind w:right="619"/>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2025</w:t>
            </w: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349,539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261,434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990,354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861,607</w:t>
            </w:r>
          </w:p>
        </w:tc>
      </w:tr>
      <w:tr>
        <w:trPr>
          <w:trHeight w:val="21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209,161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311,372</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642,281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717,552</w:t>
            </w:r>
          </w:p>
        </w:tc>
      </w:tr>
      <w:tr>
        <w:trPr>
          <w:trHeight w:val="129"/>
        </w:trPr>
        <w:tc>
          <w:tcPr>
            <w:tcW w:w="5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15"/>
        </w:trPr>
        <w:tc>
          <w:tcPr>
            <w:tcW w:w="5580" w:type="dxa"/>
            <w:vAlign w:val="bottom"/>
          </w:tcPr>
          <w:p>
            <w:pPr>
              <w:ind w:left="20"/>
              <w:spacing w:after="0"/>
              <w:rPr>
                <w:sz w:val="20"/>
                <w:szCs w:val="20"/>
                <w:color w:val="auto"/>
              </w:rPr>
            </w:pPr>
            <w:r>
              <w:rPr>
                <w:rFonts w:ascii="Arial" w:cs="Arial" w:eastAsia="Arial" w:hAnsi="Arial"/>
                <w:sz w:val="16"/>
                <w:szCs w:val="16"/>
                <w:color w:val="auto"/>
              </w:rPr>
              <w:t>Gross profit/(loss)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140,378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(49,938)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348,073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144,055</w:t>
            </w:r>
          </w:p>
        </w:tc>
      </w:tr>
      <w:tr>
        <w:trPr>
          <w:trHeight w:val="217"/>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164,219</w:t>
            </w:r>
          </w:p>
        </w:tc>
      </w:tr>
      <w:tr>
        <w:trPr>
          <w:trHeight w:val="215"/>
        </w:trPr>
        <w:tc>
          <w:tcPr>
            <w:tcW w:w="558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11,467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36,865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35,915</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18,431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9,895</w:t>
            </w:r>
          </w:p>
        </w:tc>
      </w:tr>
      <w:tr>
        <w:trPr>
          <w:trHeight w:val="129"/>
        </w:trPr>
        <w:tc>
          <w:tcPr>
            <w:tcW w:w="5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59,398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(65,974)</w:t>
            </w:r>
          </w:p>
        </w:tc>
      </w:tr>
      <w:tr>
        <w:trPr>
          <w:trHeight w:val="215"/>
        </w:trPr>
        <w:tc>
          <w:tcPr>
            <w:tcW w:w="5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5,337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5,897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14,702</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expense/(income),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w:t>
            </w:r>
          </w:p>
        </w:tc>
      </w:tr>
      <w:tr>
        <w:trPr>
          <w:trHeight w:val="129"/>
        </w:trPr>
        <w:tc>
          <w:tcPr>
            <w:tcW w:w="5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Income/(loss) before income taxes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55,788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(122,057)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(84,846)</w:t>
            </w:r>
          </w:p>
        </w:tc>
      </w:tr>
      <w:tr>
        <w:trPr>
          <w:trHeight w:val="21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expense/(benefit)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(24,419)</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(13,889)</w:t>
            </w:r>
          </w:p>
        </w:tc>
      </w:tr>
      <w:tr>
        <w:trPr>
          <w:trHeight w:val="129"/>
        </w:trPr>
        <w:tc>
          <w:tcPr>
            <w:tcW w:w="5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15"/>
        </w:trPr>
        <w:tc>
          <w:tcPr>
            <w:tcW w:w="55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41,886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(97,638)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75,039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(70,957)</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10"/>
        </w:trPr>
        <w:tc>
          <w:tcPr>
            <w:tcW w:w="5580" w:type="dxa"/>
            <w:vAlign w:val="bottom"/>
          </w:tcPr>
          <w:p>
            <w:pPr>
              <w:ind w:left="20"/>
              <w:spacing w:after="0"/>
              <w:rPr>
                <w:sz w:val="20"/>
                <w:szCs w:val="20"/>
                <w:color w:val="auto"/>
              </w:rPr>
            </w:pPr>
            <w:r>
              <w:rPr>
                <w:rFonts w:ascii="Arial" w:cs="Arial" w:eastAsia="Arial" w:hAnsi="Arial"/>
                <w:sz w:val="16"/>
                <w:szCs w:val="16"/>
                <w:color w:val="auto"/>
              </w:rPr>
              <w:t>Net income (loss) attributable to the Company</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41,697</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(97,760)</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74,392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(71,222)</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15"/>
        </w:trPr>
        <w:tc>
          <w:tcPr>
            <w:tcW w:w="5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215"/>
        </w:trPr>
        <w:tc>
          <w:tcPr>
            <w:tcW w:w="5580" w:type="dxa"/>
            <w:vAlign w:val="bottom"/>
          </w:tcPr>
          <w:p>
            <w:pPr>
              <w:ind w:left="20"/>
              <w:spacing w:after="0"/>
              <w:rPr>
                <w:sz w:val="20"/>
                <w:szCs w:val="20"/>
                <w:color w:val="auto"/>
              </w:rPr>
            </w:pPr>
            <w:r>
              <w:rPr>
                <w:rFonts w:ascii="Arial" w:cs="Arial" w:eastAsia="Arial" w:hAnsi="Arial"/>
                <w:sz w:val="16"/>
                <w:szCs w:val="16"/>
                <w:color w:val="auto"/>
              </w:rPr>
              <w:t>Earnings/(loss) per share attributable to Company shareholders - Basic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(3.37)</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149"/>
        </w:trPr>
        <w:tc>
          <w:tcPr>
            <w:tcW w:w="5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15"/>
        </w:trPr>
        <w:tc>
          <w:tcPr>
            <w:tcW w:w="5580" w:type="dxa"/>
            <w:vAlign w:val="bottom"/>
          </w:tcPr>
          <w:p>
            <w:pPr>
              <w:ind w:left="20"/>
              <w:spacing w:after="0"/>
              <w:rPr>
                <w:sz w:val="20"/>
                <w:szCs w:val="20"/>
                <w:color w:val="auto"/>
              </w:rPr>
            </w:pPr>
            <w:r>
              <w:rPr>
                <w:rFonts w:ascii="Arial" w:cs="Arial" w:eastAsia="Arial" w:hAnsi="Arial"/>
                <w:sz w:val="16"/>
                <w:szCs w:val="16"/>
                <w:color w:val="auto"/>
              </w:rPr>
              <w:t>Earnings /(loss) per share attributable to Company shareholders - Diluted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(3.37)</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149"/>
        </w:trPr>
        <w:tc>
          <w:tcPr>
            <w:tcW w:w="5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15"/>
        </w:trPr>
        <w:tc>
          <w:tcPr>
            <w:tcW w:w="558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7"/>
        </w:trPr>
        <w:tc>
          <w:tcPr>
            <w:tcW w:w="5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28,353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29,914</w:t>
            </w:r>
          </w:p>
        </w:tc>
      </w:tr>
      <w:tr>
        <w:trPr>
          <w:trHeight w:val="148"/>
        </w:trPr>
        <w:tc>
          <w:tcPr>
            <w:tcW w:w="5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29,914</w:t>
            </w:r>
          </w:p>
        </w:tc>
      </w:tr>
      <w:tr>
        <w:trPr>
          <w:trHeight w:val="148"/>
        </w:trPr>
        <w:tc>
          <w:tcPr>
            <w:tcW w:w="5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Class A share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ind w:left="4380"/>
        <w:spacing w:after="0"/>
        <w:rPr>
          <w:sz w:val="20"/>
          <w:szCs w:val="20"/>
          <w:color w:val="auto"/>
        </w:rPr>
      </w:pPr>
      <w:r>
        <w:rPr>
          <w:rFonts w:ascii="Arial" w:cs="Arial" w:eastAsia="Arial" w:hAnsi="Arial"/>
          <w:sz w:val="16"/>
          <w:szCs w:val="16"/>
          <w:color w:val="auto"/>
        </w:rPr>
        <w:t>ALBANY INTERNATIONAL CORP.</w:t>
      </w:r>
    </w:p>
    <w:p>
      <w:pPr>
        <w:spacing w:after="0" w:line="31"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tcPr>
          <w:p>
            <w:pPr>
              <w:spacing w:after="0"/>
              <w:rPr>
                <w:sz w:val="17"/>
                <w:szCs w:val="17"/>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2026</w:t>
            </w:r>
          </w:p>
        </w:tc>
        <w:tc>
          <w:tcPr>
            <w:tcW w:w="100" w:type="dxa"/>
            <w:vAlign w:val="bottom"/>
          </w:tcPr>
          <w:p>
            <w:pPr>
              <w:spacing w:after="0"/>
              <w:rPr>
                <w:sz w:val="17"/>
                <w:szCs w:val="17"/>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4"/>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4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79,125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112,350</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277,692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235,084</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164,438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87,102</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121,589</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34,803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43,937</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34,990</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Assets held for sale</w:t>
            </w:r>
          </w:p>
        </w:tc>
        <w:tc>
          <w:tcPr>
            <w:tcW w:w="4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293,783</w:t>
            </w:r>
          </w:p>
        </w:tc>
        <w:tc>
          <w:tcPr>
            <w:tcW w:w="0" w:type="dxa"/>
            <w:vAlign w:val="bottom"/>
          </w:tcPr>
          <w:p>
            <w:pPr>
              <w:spacing w:after="0"/>
              <w:rPr>
                <w:sz w:val="1"/>
                <w:szCs w:val="1"/>
                <w:color w:val="auto"/>
              </w:rPr>
            </w:pPr>
          </w:p>
        </w:tc>
      </w:tr>
      <w:tr>
        <w:trPr>
          <w:trHeight w:val="200"/>
        </w:trPr>
        <w:tc>
          <w:tcPr>
            <w:tcW w:w="80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764,034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928,835</w:t>
            </w:r>
          </w:p>
        </w:tc>
        <w:tc>
          <w:tcPr>
            <w:tcW w:w="0" w:type="dxa"/>
            <w:vAlign w:val="bottom"/>
          </w:tcPr>
          <w:p>
            <w:pPr>
              <w:spacing w:after="0"/>
              <w:rPr>
                <w:sz w:val="1"/>
                <w:szCs w:val="1"/>
                <w:color w:val="auto"/>
              </w:rPr>
            </w:pPr>
          </w:p>
        </w:tc>
      </w:tr>
      <w:tr>
        <w:trPr>
          <w:trHeight w:val="148"/>
        </w:trPr>
        <w:tc>
          <w:tcPr>
            <w:tcW w:w="8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544,559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482,568</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Intangibles, net</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30,411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21,428</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162,507</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57,059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68,499</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107,543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54,872</w:t>
            </w:r>
          </w:p>
        </w:tc>
        <w:tc>
          <w:tcPr>
            <w:tcW w:w="0" w:type="dxa"/>
            <w:vAlign w:val="bottom"/>
          </w:tcPr>
          <w:p>
            <w:pPr>
              <w:spacing w:after="0"/>
              <w:rPr>
                <w:sz w:val="1"/>
                <w:szCs w:val="1"/>
                <w:color w:val="auto"/>
              </w:rPr>
            </w:pPr>
          </w:p>
        </w:tc>
      </w:tr>
      <w:tr>
        <w:trPr>
          <w:trHeight w:val="200"/>
        </w:trPr>
        <w:tc>
          <w:tcPr>
            <w:tcW w:w="808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1,685,617</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1,718,709</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0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808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64,499</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207,062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139,385</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35,090</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Liabilities held for sale</w:t>
            </w:r>
          </w:p>
        </w:tc>
        <w:tc>
          <w:tcPr>
            <w:tcW w:w="4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203,323</w:t>
            </w:r>
          </w:p>
        </w:tc>
        <w:tc>
          <w:tcPr>
            <w:tcW w:w="0" w:type="dxa"/>
            <w:vAlign w:val="bottom"/>
          </w:tcPr>
          <w:p>
            <w:pPr>
              <w:spacing w:after="0"/>
              <w:rPr>
                <w:sz w:val="1"/>
                <w:szCs w:val="1"/>
                <w:color w:val="auto"/>
              </w:rPr>
            </w:pPr>
          </w:p>
        </w:tc>
      </w:tr>
      <w:tr>
        <w:trPr>
          <w:trHeight w:val="200"/>
        </w:trPr>
        <w:tc>
          <w:tcPr>
            <w:tcW w:w="80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4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317,385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442,297</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422,087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455,663</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142,450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86,850</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15,581</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192"/>
        </w:trPr>
        <w:tc>
          <w:tcPr>
            <w:tcW w:w="80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liabilities</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897,503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986,607</w:t>
            </w:r>
          </w:p>
        </w:tc>
        <w:tc>
          <w:tcPr>
            <w:tcW w:w="0" w:type="dxa"/>
            <w:vAlign w:val="bottom"/>
          </w:tcPr>
          <w:p>
            <w:pPr>
              <w:spacing w:after="0"/>
              <w:rPr>
                <w:sz w:val="1"/>
                <w:szCs w:val="1"/>
                <w:color w:val="auto"/>
              </w:rPr>
            </w:pPr>
          </w:p>
        </w:tc>
      </w:tr>
      <w:tr>
        <w:trPr>
          <w:trHeight w:val="133"/>
        </w:trPr>
        <w:tc>
          <w:tcPr>
            <w:tcW w:w="80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80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08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0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Class A Common Stock, par value $0.001 per share; authorized 100,000,000 shares; 41,056,929 issued in 2026</w:t>
            </w:r>
          </w:p>
        </w:tc>
        <w:tc>
          <w:tcPr>
            <w:tcW w:w="4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5"/>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40,989,106 in 2025</w:t>
            </w:r>
          </w:p>
        </w:tc>
        <w:tc>
          <w:tcPr>
            <w:tcW w:w="4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466,578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460,472</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1,026,863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976,373</w:t>
            </w:r>
          </w:p>
        </w:tc>
        <w:tc>
          <w:tcPr>
            <w:tcW w:w="0" w:type="dxa"/>
            <w:vAlign w:val="bottom"/>
          </w:tcPr>
          <w:p>
            <w:pPr>
              <w:spacing w:after="0"/>
              <w:rPr>
                <w:sz w:val="1"/>
                <w:szCs w:val="1"/>
                <w:color w:val="auto"/>
              </w:rPr>
            </w:pPr>
          </w:p>
        </w:tc>
      </w:tr>
      <w:tr>
        <w:trPr>
          <w:trHeight w:val="198"/>
        </w:trPr>
        <w:tc>
          <w:tcPr>
            <w:tcW w:w="8080" w:type="dxa"/>
            <w:vAlign w:val="bottom"/>
          </w:tcPr>
          <w:p>
            <w:pPr>
              <w:ind w:left="220"/>
              <w:spacing w:after="0"/>
              <w:rPr>
                <w:sz w:val="20"/>
                <w:szCs w:val="20"/>
                <w:color w:val="auto"/>
              </w:rPr>
            </w:pPr>
            <w:r>
              <w:rPr>
                <w:rFonts w:ascii="Arial" w:cs="Arial" w:eastAsia="Arial" w:hAnsi="Arial"/>
                <w:sz w:val="14"/>
                <w:szCs w:val="14"/>
                <w:color w:val="auto"/>
              </w:rPr>
              <w:t>Accumulated items of other comprehensive income:</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Translation adjustments</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(119,008)</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Pension and postretirement liability adjustments</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(22,838)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(23,911)</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 valuation adjustment</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98"/>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(Class A), at cost; 12,685,782 shares in 2026 and 12,685,782 in 2025</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(566,993)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(567,139)</w:t>
            </w:r>
          </w:p>
        </w:tc>
        <w:tc>
          <w:tcPr>
            <w:tcW w:w="0" w:type="dxa"/>
            <w:vAlign w:val="bottom"/>
          </w:tcPr>
          <w:p>
            <w:pPr>
              <w:spacing w:after="0"/>
              <w:rPr>
                <w:sz w:val="1"/>
                <w:szCs w:val="1"/>
                <w:color w:val="auto"/>
              </w:rPr>
            </w:pPr>
          </w:p>
        </w:tc>
      </w:tr>
      <w:tr>
        <w:trPr>
          <w:trHeight w:val="200"/>
        </w:trPr>
        <w:tc>
          <w:tcPr>
            <w:tcW w:w="8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shareholders' equity</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781,665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726,209</w:t>
            </w:r>
          </w:p>
        </w:tc>
        <w:tc>
          <w:tcPr>
            <w:tcW w:w="0" w:type="dxa"/>
            <w:vAlign w:val="bottom"/>
          </w:tcPr>
          <w:p>
            <w:pPr>
              <w:spacing w:after="0"/>
              <w:rPr>
                <w:sz w:val="1"/>
                <w:szCs w:val="1"/>
                <w:color w:val="auto"/>
              </w:rPr>
            </w:pPr>
          </w:p>
        </w:tc>
      </w:tr>
      <w:tr>
        <w:trPr>
          <w:trHeight w:val="198"/>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5,893</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equity</w:t>
            </w: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788,114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732,102</w:t>
            </w:r>
          </w:p>
        </w:tc>
        <w:tc>
          <w:tcPr>
            <w:tcW w:w="0" w:type="dxa"/>
            <w:vAlign w:val="bottom"/>
          </w:tcPr>
          <w:p>
            <w:pPr>
              <w:spacing w:after="0"/>
              <w:rPr>
                <w:sz w:val="1"/>
                <w:szCs w:val="1"/>
                <w:color w:val="auto"/>
              </w:rPr>
            </w:pPr>
          </w:p>
        </w:tc>
      </w:tr>
      <w:tr>
        <w:trPr>
          <w:trHeight w:val="200"/>
        </w:trPr>
        <w:tc>
          <w:tcPr>
            <w:tcW w:w="8080" w:type="dxa"/>
            <w:vAlign w:val="bottom"/>
          </w:tcPr>
          <w:p>
            <w:pPr>
              <w:ind w:left="140"/>
              <w:spacing w:after="0"/>
              <w:rPr>
                <w:sz w:val="20"/>
                <w:szCs w:val="20"/>
                <w:color w:val="auto"/>
              </w:rPr>
            </w:pPr>
            <w:r>
              <w:rPr>
                <w:rFonts w:ascii="Arial" w:cs="Arial" w:eastAsia="Arial" w:hAnsi="Arial"/>
                <w:sz w:val="14"/>
                <w:szCs w:val="14"/>
                <w:color w:val="auto"/>
              </w:rPr>
              <w:t>Total liabilities and shareholders' equity</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1,685,617</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1,718,709</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 w:name="page9"/>
    <w:bookmarkEnd w:id="8"/>
    <w:p>
      <w:pPr>
        <w:jc w:val="center"/>
        <w:ind w:right="560"/>
        <w:spacing w:after="0"/>
        <w:rPr>
          <w:sz w:val="20"/>
          <w:szCs w:val="20"/>
          <w:color w:val="auto"/>
        </w:rPr>
      </w:pPr>
      <w:r>
        <w:rPr>
          <w:rFonts w:ascii="Arial" w:cs="Arial" w:eastAsia="Arial" w:hAnsi="Arial"/>
          <w:sz w:val="16"/>
          <w:szCs w:val="16"/>
          <w:color w:val="auto"/>
        </w:rPr>
        <w:t>ALBANY INTERNATIONAL CORP.</w:t>
      </w:r>
    </w:p>
    <w:p>
      <w:pPr>
        <w:spacing w:after="0" w:line="21"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CONSOLIDATED STATEMENTS OF CASH FLOWS</w:t>
      </w:r>
    </w:p>
    <w:p>
      <w:pPr>
        <w:spacing w:after="0" w:line="15"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(in thousands)</w:t>
      </w:r>
    </w:p>
    <w:p>
      <w:pPr>
        <w:spacing w:after="0" w:line="9"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4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r>
      <w:tr>
        <w:trPr>
          <w:trHeight w:val="183"/>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8"/>
        </w:trPr>
        <w:tc>
          <w:tcPr>
            <w:tcW w:w="74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75,039</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(70,957)</w:t>
            </w:r>
          </w:p>
        </w:tc>
      </w:tr>
      <w:tr>
        <w:trPr>
          <w:trHeight w:val="207"/>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8"/>
        </w:trPr>
        <w:tc>
          <w:tcPr>
            <w:tcW w:w="742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61,218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61,577</w:t>
            </w:r>
          </w:p>
        </w:tc>
      </w:tr>
      <w:tr>
        <w:trPr>
          <w:trHeight w:val="207"/>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Amortization</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3,903</w:t>
            </w:r>
          </w:p>
        </w:tc>
      </w:tr>
      <w:tr>
        <w:trPr>
          <w:trHeight w:val="198"/>
        </w:trPr>
        <w:tc>
          <w:tcPr>
            <w:tcW w:w="7420" w:type="dxa"/>
            <w:vAlign w:val="bottom"/>
          </w:tcPr>
          <w:p>
            <w:pPr>
              <w:ind w:left="460"/>
              <w:spacing w:after="0"/>
              <w:rPr>
                <w:sz w:val="20"/>
                <w:szCs w:val="20"/>
                <w:color w:val="auto"/>
              </w:rPr>
            </w:pPr>
            <w:r>
              <w:rPr>
                <w:rFonts w:ascii="Arial" w:cs="Arial" w:eastAsia="Arial" w:hAnsi="Arial"/>
                <w:sz w:val="14"/>
                <w:szCs w:val="14"/>
                <w:color w:val="auto"/>
              </w:rPr>
              <w:t>Change in deferred taxes</w:t>
            </w: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13,863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(21,864)</w:t>
            </w:r>
          </w:p>
        </w:tc>
      </w:tr>
      <w:tr>
        <w:trPr>
          <w:trHeight w:val="207"/>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Loss/(gain) on disposal of property, plant and equipment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r>
      <w:tr>
        <w:trPr>
          <w:trHeight w:val="198"/>
        </w:trPr>
        <w:tc>
          <w:tcPr>
            <w:tcW w:w="7420" w:type="dxa"/>
            <w:vAlign w:val="bottom"/>
          </w:tcPr>
          <w:p>
            <w:pPr>
              <w:ind w:left="460"/>
              <w:spacing w:after="0"/>
              <w:rPr>
                <w:sz w:val="20"/>
                <w:szCs w:val="20"/>
                <w:color w:val="auto"/>
              </w:rPr>
            </w:pPr>
            <w:r>
              <w:rPr>
                <w:rFonts w:ascii="Arial" w:cs="Arial" w:eastAsia="Arial" w:hAnsi="Arial"/>
                <w:sz w:val="14"/>
                <w:szCs w:val="14"/>
                <w:color w:val="auto"/>
              </w:rPr>
              <w:t>Non-cash interest expense</w:t>
            </w: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777</w:t>
            </w:r>
          </w:p>
        </w:tc>
      </w:tr>
      <w:tr>
        <w:trPr>
          <w:trHeight w:val="207"/>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Contract loss provision (recovery)</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(52,514)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139,665</w:t>
            </w:r>
          </w:p>
        </w:tc>
      </w:tr>
      <w:tr>
        <w:trPr>
          <w:trHeight w:val="198"/>
        </w:trPr>
        <w:tc>
          <w:tcPr>
            <w:tcW w:w="7420" w:type="dxa"/>
            <w:vAlign w:val="bottom"/>
          </w:tcPr>
          <w:p>
            <w:pPr>
              <w:ind w:left="46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7,750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9,882</w:t>
            </w:r>
          </w:p>
        </w:tc>
      </w:tr>
      <w:tr>
        <w:trPr>
          <w:trHeight w:val="207"/>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Provision for credit losses from uncollected receivables and contract assets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r>
      <w:tr>
        <w:trPr>
          <w:trHeight w:val="198"/>
        </w:trPr>
        <w:tc>
          <w:tcPr>
            <w:tcW w:w="7420" w:type="dxa"/>
            <w:vAlign w:val="bottom"/>
          </w:tcPr>
          <w:p>
            <w:pPr>
              <w:ind w:left="460"/>
              <w:spacing w:after="0"/>
              <w:rPr>
                <w:sz w:val="20"/>
                <w:szCs w:val="20"/>
                <w:color w:val="auto"/>
              </w:rPr>
            </w:pPr>
            <w:r>
              <w:rPr>
                <w:rFonts w:ascii="Arial" w:cs="Arial" w:eastAsia="Arial" w:hAnsi="Arial"/>
                <w:sz w:val="14"/>
                <w:szCs w:val="14"/>
                <w:color w:val="auto"/>
              </w:rPr>
              <w:t>Foreign currency remeasurement loss/(gain) on intercompany loans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7,587</w:t>
            </w:r>
          </w:p>
        </w:tc>
      </w:tr>
      <w:tr>
        <w:trPr>
          <w:trHeight w:val="207"/>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sale of assets</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w:t>
            </w:r>
          </w:p>
        </w:tc>
      </w:tr>
      <w:tr>
        <w:trPr>
          <w:trHeight w:val="108"/>
        </w:trPr>
        <w:tc>
          <w:tcPr>
            <w:tcW w:w="7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02"/>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 that provided/(used) cash:</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9"/>
        </w:trPr>
        <w:tc>
          <w:tcPr>
            <w:tcW w:w="7420" w:type="dxa"/>
            <w:vAlign w:val="bottom"/>
          </w:tcPr>
          <w:p>
            <w:pPr>
              <w:ind w:left="460"/>
              <w:spacing w:after="0"/>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(16,468)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2,152</w:t>
            </w:r>
          </w:p>
        </w:tc>
      </w:tr>
      <w:tr>
        <w:trPr>
          <w:trHeight w:val="206"/>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Contract assets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(7,952)</w:t>
            </w:r>
          </w:p>
        </w:tc>
      </w:tr>
      <w:tr>
        <w:trPr>
          <w:trHeight w:val="199"/>
        </w:trPr>
        <w:tc>
          <w:tcPr>
            <w:tcW w:w="742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(28,559)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(5,105)</w:t>
            </w:r>
          </w:p>
        </w:tc>
      </w:tr>
      <w:tr>
        <w:trPr>
          <w:trHeight w:val="206"/>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w:t>
            </w:r>
          </w:p>
        </w:tc>
      </w:tr>
      <w:tr>
        <w:trPr>
          <w:trHeight w:val="199"/>
        </w:trPr>
        <w:tc>
          <w:tcPr>
            <w:tcW w:w="7420" w:type="dxa"/>
            <w:vAlign w:val="bottom"/>
          </w:tcPr>
          <w:p>
            <w:pPr>
              <w:ind w:left="460"/>
              <w:spacing w:after="0"/>
              <w:rPr>
                <w:sz w:val="20"/>
                <w:szCs w:val="20"/>
                <w:color w:val="auto"/>
              </w:rPr>
            </w:pPr>
            <w:r>
              <w:rPr>
                <w:rFonts w:ascii="Arial" w:cs="Arial" w:eastAsia="Arial" w:hAnsi="Arial"/>
                <w:sz w:val="14"/>
                <w:szCs w:val="14"/>
                <w:color w:val="auto"/>
              </w:rPr>
              <w:t>Income taxes prepaid and receivable</w:t>
            </w: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9,010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(13,825)</w:t>
            </w:r>
          </w:p>
        </w:tc>
      </w:tr>
      <w:tr>
        <w:trPr>
          <w:trHeight w:val="206"/>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18,684</w:t>
            </w:r>
          </w:p>
        </w:tc>
      </w:tr>
      <w:tr>
        <w:trPr>
          <w:trHeight w:val="199"/>
        </w:trPr>
        <w:tc>
          <w:tcPr>
            <w:tcW w:w="7420" w:type="dxa"/>
            <w:vAlign w:val="bottom"/>
          </w:tcPr>
          <w:p>
            <w:pPr>
              <w:ind w:left="460"/>
              <w:spacing w:after="0"/>
              <w:rPr>
                <w:sz w:val="20"/>
                <w:szCs w:val="20"/>
                <w:color w:val="auto"/>
              </w:rPr>
            </w:pPr>
            <w:r>
              <w:rPr>
                <w:rFonts w:ascii="Arial" w:cs="Arial" w:eastAsia="Arial" w:hAnsi="Arial"/>
                <w:sz w:val="14"/>
                <w:szCs w:val="14"/>
                <w:color w:val="auto"/>
              </w:rPr>
              <w:t>Accrued liabilities</w:t>
            </w: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5,109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(22,887)</w:t>
            </w:r>
          </w:p>
        </w:tc>
      </w:tr>
      <w:tr>
        <w:trPr>
          <w:trHeight w:val="206"/>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taxes payable</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(13,022)</w:t>
            </w:r>
          </w:p>
        </w:tc>
      </w:tr>
      <w:tr>
        <w:trPr>
          <w:trHeight w:val="198"/>
        </w:trPr>
        <w:tc>
          <w:tcPr>
            <w:tcW w:w="7420" w:type="dxa"/>
            <w:vAlign w:val="bottom"/>
          </w:tcPr>
          <w:p>
            <w:pPr>
              <w:ind w:left="460"/>
              <w:spacing w:after="0"/>
              <w:rPr>
                <w:sz w:val="20"/>
                <w:szCs w:val="20"/>
                <w:color w:val="auto"/>
              </w:rPr>
            </w:pPr>
            <w:r>
              <w:rPr>
                <w:rFonts w:ascii="Arial" w:cs="Arial" w:eastAsia="Arial" w:hAnsi="Arial"/>
                <w:sz w:val="14"/>
                <w:szCs w:val="14"/>
                <w:color w:val="auto"/>
              </w:rPr>
              <w:t>Other noncurrent liabilities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(4,307)</w:t>
            </w:r>
          </w:p>
        </w:tc>
      </w:tr>
      <w:tr>
        <w:trPr>
          <w:trHeight w:val="207"/>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net</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w:t>
            </w:r>
          </w:p>
        </w:tc>
      </w:tr>
      <w:tr>
        <w:trPr>
          <w:trHeight w:val="192"/>
        </w:trPr>
        <w:tc>
          <w:tcPr>
            <w:tcW w:w="74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51,623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78,772</w:t>
            </w:r>
          </w:p>
        </w:tc>
      </w:tr>
      <w:tr>
        <w:trPr>
          <w:trHeight w:val="92"/>
        </w:trPr>
        <w:tc>
          <w:tcPr>
            <w:tcW w:w="7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r>
      <w:tr>
        <w:trPr>
          <w:trHeight w:val="198"/>
        </w:trPr>
        <w:tc>
          <w:tcPr>
            <w:tcW w:w="74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Purchases of property, plant and equipment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(47,559)</w:t>
            </w:r>
          </w:p>
        </w:tc>
      </w:tr>
      <w:tr>
        <w:trPr>
          <w:trHeight w:val="198"/>
        </w:trPr>
        <w:tc>
          <w:tcPr>
            <w:tcW w:w="7420" w:type="dxa"/>
            <w:vAlign w:val="bottom"/>
          </w:tcPr>
          <w:p>
            <w:pPr>
              <w:ind w:left="460"/>
              <w:spacing w:after="0"/>
              <w:rPr>
                <w:sz w:val="20"/>
                <w:szCs w:val="20"/>
                <w:color w:val="auto"/>
              </w:rPr>
            </w:pPr>
            <w:r>
              <w:rPr>
                <w:rFonts w:ascii="Arial" w:cs="Arial" w:eastAsia="Arial" w:hAnsi="Arial"/>
                <w:sz w:val="14"/>
                <w:szCs w:val="14"/>
                <w:color w:val="auto"/>
              </w:rPr>
              <w:t>Purchased software</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(1,250)</w:t>
            </w:r>
          </w:p>
        </w:tc>
      </w:tr>
      <w:tr>
        <w:trPr>
          <w:trHeight w:val="207"/>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Proceeds received from sale of assets</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3,243</w:t>
            </w:r>
          </w:p>
        </w:tc>
      </w:tr>
      <w:tr>
        <w:trPr>
          <w:trHeight w:val="198"/>
        </w:trPr>
        <w:tc>
          <w:tcPr>
            <w:tcW w:w="7420" w:type="dxa"/>
            <w:vAlign w:val="bottom"/>
          </w:tcPr>
          <w:p>
            <w:pPr>
              <w:ind w:left="460"/>
              <w:spacing w:after="0"/>
              <w:rPr>
                <w:sz w:val="20"/>
                <w:szCs w:val="20"/>
                <w:color w:val="auto"/>
              </w:rPr>
            </w:pPr>
            <w:r>
              <w:rPr>
                <w:rFonts w:ascii="Arial" w:cs="Arial" w:eastAsia="Arial" w:hAnsi="Arial"/>
                <w:sz w:val="14"/>
                <w:szCs w:val="14"/>
                <w:color w:val="auto"/>
              </w:rPr>
              <w:t>Proceeds from sale of investment</w:t>
            </w: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74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(30,553)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(45,566)</w:t>
            </w:r>
          </w:p>
        </w:tc>
      </w:tr>
      <w:tr>
        <w:trPr>
          <w:trHeight w:val="92"/>
        </w:trPr>
        <w:tc>
          <w:tcPr>
            <w:tcW w:w="7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r>
      <w:tr>
        <w:trPr>
          <w:trHeight w:val="199"/>
        </w:trPr>
        <w:tc>
          <w:tcPr>
            <w:tcW w:w="74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Proceeds from borrowings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231,999</w:t>
            </w:r>
          </w:p>
        </w:tc>
      </w:tr>
      <w:tr>
        <w:trPr>
          <w:trHeight w:val="199"/>
        </w:trPr>
        <w:tc>
          <w:tcPr>
            <w:tcW w:w="7420" w:type="dxa"/>
            <w:vAlign w:val="bottom"/>
          </w:tcPr>
          <w:p>
            <w:pPr>
              <w:ind w:left="460"/>
              <w:spacing w:after="0"/>
              <w:rPr>
                <w:sz w:val="20"/>
                <w:szCs w:val="20"/>
                <w:color w:val="auto"/>
              </w:rPr>
            </w:pPr>
            <w:r>
              <w:rPr>
                <w:rFonts w:ascii="Arial" w:cs="Arial" w:eastAsia="Arial" w:hAnsi="Arial"/>
                <w:sz w:val="14"/>
                <w:szCs w:val="14"/>
                <w:color w:val="auto"/>
              </w:rPr>
              <w:t>Repayment of borrowings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(202,000)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(82,044)</w:t>
            </w:r>
          </w:p>
        </w:tc>
      </w:tr>
      <w:tr>
        <w:trPr>
          <w:trHeight w:val="206"/>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Purchase of Treasury shares</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(170,964)</w:t>
            </w:r>
          </w:p>
        </w:tc>
      </w:tr>
      <w:tr>
        <w:trPr>
          <w:trHeight w:val="199"/>
        </w:trPr>
        <w:tc>
          <w:tcPr>
            <w:tcW w:w="7420" w:type="dxa"/>
            <w:vAlign w:val="bottom"/>
          </w:tcPr>
          <w:p>
            <w:pPr>
              <w:ind w:left="460"/>
              <w:spacing w:after="0"/>
              <w:rPr>
                <w:sz w:val="20"/>
                <w:szCs w:val="20"/>
                <w:color w:val="auto"/>
              </w:rPr>
            </w:pPr>
            <w:r>
              <w:rPr>
                <w:rFonts w:ascii="Arial" w:cs="Arial" w:eastAsia="Arial" w:hAnsi="Arial"/>
                <w:sz w:val="14"/>
                <w:szCs w:val="14"/>
                <w:color w:val="auto"/>
              </w:rPr>
              <w:t>Taxes paid in lieu of share issuance</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(2,521)</w:t>
            </w:r>
          </w:p>
        </w:tc>
      </w:tr>
      <w:tr>
        <w:trPr>
          <w:trHeight w:val="206"/>
        </w:trPr>
        <w:tc>
          <w:tcPr>
            <w:tcW w:w="7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Dividends paid</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(23,810)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(24,738)</w:t>
            </w:r>
          </w:p>
        </w:tc>
      </w:tr>
      <w:tr>
        <w:trPr>
          <w:trHeight w:val="192"/>
        </w:trPr>
        <w:tc>
          <w:tcPr>
            <w:tcW w:w="74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(55,454)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(48,268)</w:t>
            </w:r>
          </w:p>
        </w:tc>
      </w:tr>
      <w:tr>
        <w:trPr>
          <w:trHeight w:val="92"/>
        </w:trPr>
        <w:tc>
          <w:tcPr>
            <w:tcW w:w="7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r>
      <w:tr>
        <w:trPr>
          <w:trHeight w:val="19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8,089</w:t>
            </w:r>
          </w:p>
        </w:tc>
      </w:tr>
      <w:tr>
        <w:trPr>
          <w:trHeight w:val="92"/>
        </w:trPr>
        <w:tc>
          <w:tcPr>
            <w:tcW w:w="7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r>
      <w:tr>
        <w:trPr>
          <w:trHeight w:val="198"/>
        </w:trPr>
        <w:tc>
          <w:tcPr>
            <w:tcW w:w="7420" w:type="dxa"/>
            <w:vAlign w:val="bottom"/>
          </w:tcPr>
          <w:p>
            <w:pPr>
              <w:ind w:left="20"/>
              <w:spacing w:after="0"/>
              <w:rPr>
                <w:sz w:val="20"/>
                <w:szCs w:val="20"/>
                <w:color w:val="auto"/>
              </w:rPr>
            </w:pPr>
            <w:r>
              <w:rPr>
                <w:rFonts w:ascii="Arial" w:cs="Arial" w:eastAsia="Arial" w:hAnsi="Arial"/>
                <w:sz w:val="14"/>
                <w:szCs w:val="14"/>
                <w:color w:val="auto"/>
              </w:rPr>
              <w:t>Decrease in cash and cash equivalents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(33,225)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(6,973)</w:t>
            </w:r>
          </w:p>
        </w:tc>
      </w:tr>
      <w:tr>
        <w:trPr>
          <w:trHeight w:val="203"/>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112,350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115,283</w:t>
            </w:r>
          </w:p>
        </w:tc>
      </w:tr>
      <w:tr>
        <w:trPr>
          <w:trHeight w:val="200"/>
        </w:trPr>
        <w:tc>
          <w:tcPr>
            <w:tcW w:w="742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79,125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108,310</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895" w:right="339" w:bottom="1440" w:gutter="0" w:footer="0" w:header="0"/>
        </w:sectPr>
      </w:pPr>
    </w:p>
    <w:bookmarkStart w:id="9" w:name="page10"/>
    <w:bookmarkEnd w:id="9"/>
    <w:tbl>
      <w:tblPr>
        <w:tblLayout w:type="fixed"/>
        <w:tblInd w:w="560" w:type="dxa"/>
        <w:tblCellMar>
          <w:top w:w="0" w:type="dxa"/>
          <w:left w:w="0" w:type="dxa"/>
          <w:bottom w:w="0" w:type="dxa"/>
          <w:right w:w="0" w:type="dxa"/>
        </w:tblCellMar>
      </w:tblPr>
      <w:tr>
        <w:trPr>
          <w:trHeight w:val="203"/>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2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8"/>
        </w:trPr>
        <w:tc>
          <w:tcPr>
            <w:tcW w:w="5300" w:type="dxa"/>
            <w:vAlign w:val="bottom"/>
          </w:tcPr>
          <w:p>
            <w:pPr>
              <w:ind w:left="120"/>
              <w:spacing w:after="0"/>
              <w:rPr>
                <w:sz w:val="20"/>
                <w:szCs w:val="20"/>
                <w:color w:val="auto"/>
              </w:rPr>
            </w:pPr>
            <w:r>
              <w:rPr>
                <w:rFonts w:ascii="Arial" w:cs="Arial" w:eastAsia="Arial" w:hAnsi="Arial"/>
                <w:sz w:val="14"/>
                <w:szCs w:val="14"/>
                <w:color w:val="auto"/>
              </w:rPr>
              <w:t>Cash paid for interest, net</w:t>
            </w:r>
          </w:p>
        </w:tc>
        <w:tc>
          <w:tcPr>
            <w:tcW w:w="2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18,144</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17,333</w:t>
            </w:r>
          </w:p>
        </w:tc>
      </w:tr>
      <w:tr>
        <w:trPr>
          <w:trHeight w:val="207"/>
        </w:trPr>
        <w:tc>
          <w:tcPr>
            <w:tcW w:w="5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paid for income taxes</w:t>
            </w:r>
          </w:p>
        </w:tc>
        <w:tc>
          <w:tcPr>
            <w:tcW w:w="25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22,080</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33,462</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The following table presents the reconciliation of Net revenues to net revenues excluding the effect of changes in currency translation rates, a non-GAAP measure:</w:t>
      </w:r>
    </w:p>
    <w:p>
      <w:pPr>
        <w:sectPr>
          <w:pgSz w:w="11900" w:h="16838" w:orient="portrait"/>
          <w:cols w:equalWidth="0" w:num="1">
            <w:col w:w="11240"/>
          </w:cols>
          <w:pgMar w:left="320" w:top="936" w:right="339" w:bottom="1440" w:gutter="0" w:footer="0" w:header="0"/>
        </w:sectPr>
      </w:pP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800" w:type="dxa"/>
            <w:vAlign w:val="bottom"/>
          </w:tcPr>
          <w:p>
            <w:pPr>
              <w:jc w:val="center"/>
              <w:ind w:left="508"/>
              <w:spacing w:after="0"/>
              <w:rPr>
                <w:sz w:val="20"/>
                <w:szCs w:val="20"/>
                <w:color w:val="auto"/>
              </w:rPr>
            </w:pPr>
            <w:r>
              <w:rPr>
                <w:rFonts w:ascii="Arial" w:cs="Arial" w:eastAsia="Arial" w:hAnsi="Arial"/>
                <w:sz w:val="14"/>
                <w:szCs w:val="14"/>
                <w:b w:val="1"/>
                <w:bCs w:val="1"/>
                <w:color w:val="auto"/>
              </w:rPr>
              <w:t>Net revenues as</w:t>
            </w:r>
          </w:p>
        </w:tc>
        <w:tc>
          <w:tcPr>
            <w:tcW w:w="0" w:type="dxa"/>
            <w:vAlign w:val="bottom"/>
          </w:tcPr>
          <w:p>
            <w:pPr>
              <w:spacing w:after="0"/>
              <w:rPr>
                <w:sz w:val="1"/>
                <w:szCs w:val="1"/>
                <w:color w:val="auto"/>
              </w:rPr>
            </w:pPr>
          </w:p>
        </w:tc>
      </w:tr>
      <w:tr>
        <w:trPr>
          <w:trHeight w:val="187"/>
        </w:trPr>
        <w:tc>
          <w:tcPr>
            <w:tcW w:w="3000" w:type="dxa"/>
            <w:vAlign w:val="bottom"/>
            <w:vMerge w:val="continue"/>
          </w:tcPr>
          <w:p>
            <w:pPr>
              <w:spacing w:after="0"/>
              <w:rPr>
                <w:sz w:val="16"/>
                <w:szCs w:val="16"/>
                <w:color w:val="auto"/>
              </w:rPr>
            </w:pPr>
          </w:p>
        </w:tc>
        <w:tc>
          <w:tcPr>
            <w:tcW w:w="1800" w:type="dxa"/>
            <w:vAlign w:val="bottom"/>
          </w:tcPr>
          <w:p>
            <w:pPr>
              <w:jc w:val="center"/>
              <w:ind w:left="508"/>
              <w:spacing w:after="0"/>
              <w:rPr>
                <w:sz w:val="20"/>
                <w:szCs w:val="20"/>
                <w:color w:val="auto"/>
              </w:rPr>
            </w:pPr>
            <w:r>
              <w:rPr>
                <w:rFonts w:ascii="Arial" w:cs="Arial" w:eastAsia="Arial" w:hAnsi="Arial"/>
                <w:sz w:val="14"/>
                <w:szCs w:val="14"/>
                <w:b w:val="1"/>
                <w:bCs w:val="1"/>
                <w:color w:val="auto"/>
              </w:rPr>
              <w:t>reported, Q3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(Decrease)/ increase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Q3 2026 revenues on</w:t>
            </w:r>
          </w:p>
        </w:tc>
      </w:tr>
      <w:tr>
        <w:trPr>
          <w:trHeight w:val="139"/>
        </w:trPr>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due to changes in</w:t>
            </w:r>
          </w:p>
        </w:tc>
        <w:tc>
          <w:tcPr>
            <w:tcW w:w="14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same basis as Q3</w:t>
            </w:r>
          </w:p>
        </w:tc>
      </w:tr>
      <w:tr>
        <w:trPr>
          <w:trHeight w:val="148"/>
        </w:trPr>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currency translation</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2025 currency</w:t>
            </w:r>
          </w:p>
        </w:tc>
      </w:tr>
      <w:tr>
        <w:trPr>
          <w:trHeight w:val="196"/>
        </w:trPr>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rates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translation rates</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right"/>
        <w:ind w:right="160"/>
        <w:spacing w:after="0" w:line="221" w:lineRule="auto"/>
        <w:rPr>
          <w:sz w:val="20"/>
          <w:szCs w:val="20"/>
          <w:color w:val="auto"/>
        </w:rPr>
      </w:pPr>
      <w:r>
        <w:rPr>
          <w:rFonts w:ascii="Arial" w:cs="Arial" w:eastAsia="Arial" w:hAnsi="Arial"/>
          <w:sz w:val="14"/>
          <w:szCs w:val="14"/>
          <w:b w:val="1"/>
          <w:bCs w:val="1"/>
          <w:color w:val="auto"/>
        </w:rPr>
        <w:t>Net revenues as % Change compared to Q3 reported, Q3    2025, excluding currency</w:t>
      </w:r>
    </w:p>
    <w:p>
      <w:pPr>
        <w:spacing w:after="0" w:line="1"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rate effects</w:t>
      </w:r>
    </w:p>
    <w:p>
      <w:pPr>
        <w:spacing w:after="0" w:line="22" w:lineRule="exact"/>
        <w:rPr>
          <w:sz w:val="20"/>
          <w:szCs w:val="20"/>
          <w:color w:val="auto"/>
        </w:rPr>
      </w:pPr>
    </w:p>
    <w:p>
      <w:pPr>
        <w:sectPr>
          <w:pgSz w:w="11900" w:h="16838" w:orient="portrait"/>
          <w:cols w:equalWidth="0" w:num="3">
            <w:col w:w="4820" w:space="220"/>
            <w:col w:w="2920" w:space="100"/>
            <w:col w:w="3180"/>
          </w:cols>
          <w:pgMar w:left="320" w:top="936"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06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169,802</w:t>
            </w:r>
          </w:p>
        </w:tc>
        <w:tc>
          <w:tcPr>
            <w:tcW w:w="68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5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169,718</w:t>
            </w:r>
          </w:p>
        </w:tc>
        <w:tc>
          <w:tcPr>
            <w:tcW w:w="3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174,950</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10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179,737</w:t>
            </w: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179,046</w:t>
            </w: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86,484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107.0 %</w:t>
            </w:r>
          </w:p>
        </w:tc>
      </w:tr>
      <w:tr>
        <w:trPr>
          <w:trHeight w:val="209"/>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10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349,539</w:t>
            </w:r>
          </w:p>
        </w:tc>
        <w:tc>
          <w:tcPr>
            <w:tcW w:w="6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5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348,764</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261,434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33.4 %</w:t>
            </w: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(Decrease)/ increase</w:t>
            </w: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YTD 2026 revenues</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revenues as</w:t>
            </w:r>
          </w:p>
        </w:tc>
        <w:tc>
          <w:tcPr>
            <w:tcW w:w="1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Change compared to</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9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Net revenues as</w:t>
            </w:r>
          </w:p>
        </w:tc>
        <w:tc>
          <w:tcPr>
            <w:tcW w:w="15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due to changes in</w:t>
            </w:r>
          </w:p>
        </w:tc>
        <w:tc>
          <w:tcPr>
            <w:tcW w:w="1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on same basis as</w:t>
            </w:r>
          </w:p>
        </w:tc>
        <w:tc>
          <w:tcPr>
            <w:tcW w:w="1240" w:type="dxa"/>
            <w:vAlign w:val="bottom"/>
            <w:gridSpan w:val="2"/>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gridSpan w:val="2"/>
            <w:vMerge w:val="continue"/>
          </w:tcPr>
          <w:p>
            <w:pPr>
              <w:spacing w:after="0"/>
              <w:rPr>
                <w:sz w:val="12"/>
                <w:szCs w:val="12"/>
                <w:color w:val="auto"/>
              </w:rPr>
            </w:pPr>
          </w:p>
        </w:tc>
        <w:tc>
          <w:tcPr>
            <w:tcW w:w="1520" w:type="dxa"/>
            <w:vAlign w:val="bottom"/>
            <w:gridSpan w:val="2"/>
          </w:tcPr>
          <w:p>
            <w:pPr>
              <w:ind w:left="60"/>
              <w:spacing w:after="0" w:line="145" w:lineRule="exact"/>
              <w:rPr>
                <w:sz w:val="20"/>
                <w:szCs w:val="20"/>
                <w:color w:val="auto"/>
              </w:rPr>
            </w:pPr>
            <w:r>
              <w:rPr>
                <w:rFonts w:ascii="Arial" w:cs="Arial" w:eastAsia="Arial" w:hAnsi="Arial"/>
                <w:sz w:val="14"/>
                <w:szCs w:val="14"/>
                <w:b w:val="1"/>
                <w:bCs w:val="1"/>
                <w:color w:val="auto"/>
              </w:rPr>
              <w:t>currency translation</w:t>
            </w:r>
          </w:p>
        </w:tc>
        <w:tc>
          <w:tcPr>
            <w:tcW w:w="150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2025 currency</w:t>
            </w:r>
          </w:p>
        </w:tc>
        <w:tc>
          <w:tcPr>
            <w:tcW w:w="124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reported, YTD</w:t>
            </w:r>
          </w:p>
        </w:tc>
        <w:tc>
          <w:tcPr>
            <w:tcW w:w="190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2025, excluding currency</w:t>
            </w: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reported, YTD 2026</w:t>
            </w: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rates</w:t>
            </w:r>
          </w:p>
        </w:tc>
        <w:tc>
          <w:tcPr>
            <w:tcW w:w="8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translation rates</w:t>
            </w: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rate effects</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98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514,464</w:t>
            </w:r>
          </w:p>
        </w:tc>
        <w:tc>
          <w:tcPr>
            <w:tcW w:w="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8,363</w:t>
            </w: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506,101</w:t>
            </w:r>
          </w:p>
        </w:tc>
        <w:tc>
          <w:tcPr>
            <w:tcW w:w="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530,573</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475,890</w:t>
            </w: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5,650</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470,240</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331,034</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42.1 %</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9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990,354</w:t>
            </w:r>
          </w:p>
        </w:tc>
        <w:tc>
          <w:tcPr>
            <w:tcW w:w="6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14,013</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976,341</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861,607</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Gross profit/ (loss) and Gross profit margin:</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Pr>
          <w:p>
            <w:pPr>
              <w:spacing w:after="0"/>
              <w:rPr>
                <w:sz w:val="13"/>
                <w:szCs w:val="13"/>
                <w:color w:val="auto"/>
              </w:rPr>
            </w:pPr>
          </w:p>
        </w:tc>
        <w:tc>
          <w:tcPr>
            <w:tcW w:w="1420" w:type="dxa"/>
            <w:vAlign w:val="bottom"/>
          </w:tcPr>
          <w:p>
            <w:pPr>
              <w:jc w:val="center"/>
              <w:ind w:right="243"/>
              <w:spacing w:after="0"/>
              <w:rPr>
                <w:sz w:val="20"/>
                <w:szCs w:val="20"/>
                <w:color w:val="auto"/>
              </w:rPr>
            </w:pPr>
            <w:r>
              <w:rPr>
                <w:rFonts w:ascii="Arial" w:cs="Arial" w:eastAsia="Arial" w:hAnsi="Arial"/>
                <w:sz w:val="14"/>
                <w:szCs w:val="14"/>
                <w:b w:val="1"/>
                <w:bCs w:val="1"/>
                <w:color w:val="auto"/>
              </w:rPr>
              <w:t>Gross profit,</w:t>
            </w:r>
          </w:p>
        </w:tc>
        <w:tc>
          <w:tcPr>
            <w:tcW w:w="2240" w:type="dxa"/>
            <w:vAlign w:val="bottom"/>
          </w:tcPr>
          <w:p>
            <w:pPr>
              <w:jc w:val="center"/>
              <w:ind w:right="263"/>
              <w:spacing w:after="0"/>
              <w:rPr>
                <w:sz w:val="20"/>
                <w:szCs w:val="20"/>
                <w:color w:val="auto"/>
              </w:rPr>
            </w:pPr>
            <w:r>
              <w:rPr>
                <w:rFonts w:ascii="Arial" w:cs="Arial" w:eastAsia="Arial" w:hAnsi="Arial"/>
                <w:sz w:val="14"/>
                <w:szCs w:val="14"/>
                <w:b w:val="1"/>
                <w:bCs w:val="1"/>
                <w:color w:val="auto"/>
              </w:rPr>
              <w:t>Gross profit margin, Q3</w:t>
            </w:r>
          </w:p>
        </w:tc>
        <w:tc>
          <w:tcPr>
            <w:tcW w:w="1600" w:type="dxa"/>
            <w:vAlign w:val="bottom"/>
          </w:tcPr>
          <w:p>
            <w:pPr>
              <w:jc w:val="center"/>
              <w:ind w:right="283"/>
              <w:spacing w:after="0"/>
              <w:rPr>
                <w:sz w:val="20"/>
                <w:szCs w:val="20"/>
                <w:color w:val="auto"/>
              </w:rPr>
            </w:pPr>
            <w:r>
              <w:rPr>
                <w:rFonts w:ascii="Arial" w:cs="Arial" w:eastAsia="Arial" w:hAnsi="Arial"/>
                <w:sz w:val="14"/>
                <w:szCs w:val="14"/>
                <w:b w:val="1"/>
                <w:bCs w:val="1"/>
                <w:color w:val="auto"/>
              </w:rPr>
              <w:t>Gross profit,</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Gross profit margin, Q3</w:t>
            </w:r>
          </w:p>
        </w:tc>
        <w:tc>
          <w:tcPr>
            <w:tcW w:w="0" w:type="dxa"/>
            <w:vAlign w:val="bottom"/>
          </w:tcPr>
          <w:p>
            <w:pPr>
              <w:spacing w:after="0"/>
              <w:rPr>
                <w:sz w:val="1"/>
                <w:szCs w:val="1"/>
                <w:color w:val="auto"/>
              </w:rPr>
            </w:pPr>
          </w:p>
        </w:tc>
      </w:tr>
      <w:tr>
        <w:trPr>
          <w:trHeight w:val="185"/>
        </w:trPr>
        <w:tc>
          <w:tcPr>
            <w:tcW w:w="30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Q3 2026</w:t>
            </w:r>
          </w:p>
        </w:tc>
        <w:tc>
          <w:tcPr>
            <w:tcW w:w="224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2026</w:t>
            </w:r>
          </w:p>
        </w:tc>
        <w:tc>
          <w:tcPr>
            <w:tcW w:w="160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Q3 2025</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75,368</w:t>
            </w:r>
          </w:p>
        </w:tc>
        <w:tc>
          <w:tcPr>
            <w:tcW w:w="22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44.4 % $</w:t>
            </w:r>
          </w:p>
        </w:tc>
        <w:tc>
          <w:tcPr>
            <w:tcW w:w="16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82,070</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46.9 %</w:t>
            </w:r>
          </w:p>
        </w:tc>
        <w:tc>
          <w:tcPr>
            <w:tcW w:w="0" w:type="dxa"/>
            <w:vAlign w:val="bottom"/>
          </w:tcPr>
          <w:p>
            <w:pPr>
              <w:spacing w:after="0"/>
              <w:rPr>
                <w:sz w:val="1"/>
                <w:szCs w:val="1"/>
                <w:color w:val="auto"/>
              </w:rPr>
            </w:pPr>
          </w:p>
        </w:tc>
      </w:tr>
      <w:tr>
        <w:trPr>
          <w:trHeight w:val="21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65,010</w:t>
            </w:r>
          </w:p>
        </w:tc>
        <w:tc>
          <w:tcPr>
            <w:tcW w:w="224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rPr>
              <w:t>36.2 %</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(132,008)</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140,378</w:t>
            </w:r>
          </w:p>
        </w:tc>
        <w:tc>
          <w:tcPr>
            <w:tcW w:w="224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6"/>
                <w:szCs w:val="16"/>
                <w:color w:val="auto"/>
              </w:rPr>
              <w:t>40.2 % $</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(49,938)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95"/>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Pr>
          <w:p>
            <w:pPr>
              <w:spacing w:after="0"/>
              <w:rPr>
                <w:sz w:val="24"/>
                <w:szCs w:val="24"/>
                <w:color w:val="auto"/>
              </w:rPr>
            </w:pPr>
          </w:p>
        </w:tc>
        <w:tc>
          <w:tcPr>
            <w:tcW w:w="1420" w:type="dxa"/>
            <w:vAlign w:val="bottom"/>
          </w:tcPr>
          <w:p>
            <w:pPr>
              <w:jc w:val="center"/>
              <w:ind w:right="243"/>
              <w:spacing w:after="0"/>
              <w:rPr>
                <w:sz w:val="20"/>
                <w:szCs w:val="20"/>
                <w:color w:val="auto"/>
              </w:rPr>
            </w:pPr>
            <w:r>
              <w:rPr>
                <w:rFonts w:ascii="Arial" w:cs="Arial" w:eastAsia="Arial" w:hAnsi="Arial"/>
                <w:sz w:val="14"/>
                <w:szCs w:val="14"/>
                <w:b w:val="1"/>
                <w:bCs w:val="1"/>
                <w:color w:val="auto"/>
              </w:rPr>
              <w:t>Gross profit,</w:t>
            </w:r>
          </w:p>
        </w:tc>
        <w:tc>
          <w:tcPr>
            <w:tcW w:w="2240" w:type="dxa"/>
            <w:vAlign w:val="bottom"/>
          </w:tcPr>
          <w:p>
            <w:pPr>
              <w:jc w:val="center"/>
              <w:ind w:right="243"/>
              <w:spacing w:after="0"/>
              <w:rPr>
                <w:sz w:val="20"/>
                <w:szCs w:val="20"/>
                <w:color w:val="auto"/>
              </w:rPr>
            </w:pPr>
            <w:r>
              <w:rPr>
                <w:rFonts w:ascii="Arial" w:cs="Arial" w:eastAsia="Arial" w:hAnsi="Arial"/>
                <w:sz w:val="14"/>
                <w:szCs w:val="14"/>
                <w:b w:val="1"/>
                <w:bCs w:val="1"/>
                <w:color w:val="auto"/>
              </w:rPr>
              <w:t>Gross profit margin, YTD</w:t>
            </w:r>
          </w:p>
        </w:tc>
        <w:tc>
          <w:tcPr>
            <w:tcW w:w="1600" w:type="dxa"/>
            <w:vAlign w:val="bottom"/>
          </w:tcPr>
          <w:p>
            <w:pPr>
              <w:jc w:val="center"/>
              <w:ind w:right="283"/>
              <w:spacing w:after="0"/>
              <w:rPr>
                <w:sz w:val="20"/>
                <w:szCs w:val="20"/>
                <w:color w:val="auto"/>
              </w:rPr>
            </w:pPr>
            <w:r>
              <w:rPr>
                <w:rFonts w:ascii="Arial" w:cs="Arial" w:eastAsia="Arial" w:hAnsi="Arial"/>
                <w:sz w:val="14"/>
                <w:szCs w:val="14"/>
                <w:b w:val="1"/>
                <w:bCs w:val="1"/>
                <w:color w:val="auto"/>
              </w:rPr>
              <w:t>Gross profit,</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Gross profit margin, YTD</w:t>
            </w:r>
          </w:p>
        </w:tc>
        <w:tc>
          <w:tcPr>
            <w:tcW w:w="0" w:type="dxa"/>
            <w:vAlign w:val="bottom"/>
          </w:tcPr>
          <w:p>
            <w:pPr>
              <w:spacing w:after="0"/>
              <w:rPr>
                <w:sz w:val="1"/>
                <w:szCs w:val="1"/>
                <w:color w:val="auto"/>
              </w:rPr>
            </w:pPr>
          </w:p>
        </w:tc>
      </w:tr>
      <w:tr>
        <w:trPr>
          <w:trHeight w:val="185"/>
        </w:trPr>
        <w:tc>
          <w:tcPr>
            <w:tcW w:w="30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YTD 2026</w:t>
            </w:r>
          </w:p>
        </w:tc>
        <w:tc>
          <w:tcPr>
            <w:tcW w:w="224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2026</w:t>
            </w:r>
          </w:p>
        </w:tc>
        <w:tc>
          <w:tcPr>
            <w:tcW w:w="160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YTD 2025</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231,377</w:t>
            </w:r>
          </w:p>
        </w:tc>
        <w:tc>
          <w:tcPr>
            <w:tcW w:w="22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45.0 % $</w:t>
            </w:r>
          </w:p>
        </w:tc>
        <w:tc>
          <w:tcPr>
            <w:tcW w:w="16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245,731</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46.3 %</w:t>
            </w:r>
          </w:p>
        </w:tc>
        <w:tc>
          <w:tcPr>
            <w:tcW w:w="0" w:type="dxa"/>
            <w:vAlign w:val="bottom"/>
          </w:tcPr>
          <w:p>
            <w:pPr>
              <w:spacing w:after="0"/>
              <w:rPr>
                <w:sz w:val="1"/>
                <w:szCs w:val="1"/>
                <w:color w:val="auto"/>
              </w:rPr>
            </w:pPr>
          </w:p>
        </w:tc>
      </w:tr>
      <w:tr>
        <w:trPr>
          <w:trHeight w:val="21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116,696</w:t>
            </w:r>
          </w:p>
        </w:tc>
        <w:tc>
          <w:tcPr>
            <w:tcW w:w="224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rPr>
              <w:t>24.5 %</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(101,676)</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348,073</w:t>
            </w:r>
          </w:p>
        </w:tc>
        <w:tc>
          <w:tcPr>
            <w:tcW w:w="224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6"/>
                <w:szCs w:val="16"/>
                <w:color w:val="auto"/>
              </w:rPr>
              <w:t>35.1 % $</w:t>
            </w:r>
          </w:p>
        </w:tc>
        <w:tc>
          <w:tcPr>
            <w:tcW w:w="1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144,055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Reconciliation of Net income/(loss) (GAAP) to Adjusted EBITDA (non-GAAP) for the current-year and comparable prior-year periods have been calculated as follows.</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color w:val="auto"/>
        </w:rPr>
        <w:t>Prior-period non-GAAP results have been revised to conform to the current presentation by including the third-quarter CH-53K program contract reserve adjustment in operating results, reflecting the Company’s determination that the adjustment is part of the program’s underlying operating performance.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t>Three months ended September 30, 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2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center"/>
              <w:ind w:right="120"/>
              <w:spacing w:after="0" w:line="144" w:lineRule="exact"/>
              <w:rPr>
                <w:sz w:val="20"/>
                <w:szCs w:val="20"/>
                <w:color w:val="auto"/>
              </w:rPr>
            </w:pPr>
            <w:r>
              <w:rPr>
                <w:rFonts w:ascii="Arial" w:cs="Arial" w:eastAsia="Arial" w:hAnsi="Arial"/>
                <w:sz w:val="14"/>
                <w:szCs w:val="14"/>
                <w:b w:val="1"/>
                <w:bCs w:val="1"/>
                <w:color w:val="auto"/>
              </w:rPr>
              <w:t>Albany Engineered</w:t>
            </w:r>
          </w:p>
        </w:tc>
        <w:tc>
          <w:tcPr>
            <w:tcW w:w="1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ind w:right="100"/>
              <w:spacing w:after="0" w:line="144" w:lineRule="exact"/>
              <w:rPr>
                <w:sz w:val="20"/>
                <w:szCs w:val="20"/>
                <w:color w:val="auto"/>
              </w:rPr>
            </w:pPr>
            <w:r>
              <w:rPr>
                <w:rFonts w:ascii="Arial" w:cs="Arial" w:eastAsia="Arial" w:hAnsi="Arial"/>
                <w:sz w:val="14"/>
                <w:szCs w:val="14"/>
                <w:b w:val="1"/>
                <w:bCs w:val="1"/>
                <w:color w:val="auto"/>
              </w:rPr>
              <w:t>Corporate expenses</w:t>
            </w: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9"/>
        </w:trPr>
        <w:tc>
          <w:tcPr>
            <w:tcW w:w="42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Composites</w:t>
            </w: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and other</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20"/>
              <w:spacing w:after="0"/>
              <w:rPr>
                <w:sz w:val="20"/>
                <w:szCs w:val="20"/>
                <w:color w:val="auto"/>
              </w:rPr>
            </w:pPr>
            <w:r>
              <w:rPr>
                <w:rFonts w:ascii="Arial" w:cs="Arial" w:eastAsia="Arial" w:hAnsi="Arial"/>
                <w:sz w:val="16"/>
                <w:szCs w:val="16"/>
                <w:b w:val="1"/>
                <w:bCs w:val="1"/>
                <w:color w:val="auto"/>
              </w:rPr>
              <w:t>31,158</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b w:val="1"/>
                <w:bCs w:val="1"/>
                <w:color w:val="auto"/>
              </w:rPr>
              <w:t>43,346</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(32,618)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ind w:right="120"/>
              <w:spacing w:after="0"/>
              <w:rPr>
                <w:sz w:val="20"/>
                <w:szCs w:val="20"/>
                <w:color w:val="auto"/>
              </w:rPr>
            </w:pPr>
            <w:r>
              <w:rPr>
                <w:rFonts w:ascii="Arial" w:cs="Arial" w:eastAsia="Arial" w:hAnsi="Arial"/>
                <w:sz w:val="16"/>
                <w:szCs w:val="16"/>
                <w:b w:val="1"/>
                <w:bCs w:val="1"/>
                <w:color w:val="auto"/>
              </w:rPr>
              <w:t>41,886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expense/(income), net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5,337</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5,337</w:t>
            </w:r>
          </w:p>
        </w:tc>
        <w:tc>
          <w:tcPr>
            <w:tcW w:w="0" w:type="dxa"/>
            <w:vAlign w:val="bottom"/>
          </w:tcPr>
          <w:p>
            <w:pPr>
              <w:spacing w:after="0"/>
              <w:rPr>
                <w:sz w:val="1"/>
                <w:szCs w:val="1"/>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18"/>
                <w:szCs w:val="18"/>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13,902</w:t>
            </w:r>
          </w:p>
        </w:tc>
        <w:tc>
          <w:tcPr>
            <w:tcW w:w="20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13,902</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8,372</w:t>
            </w: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22,503</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30,916</w:t>
            </w:r>
          </w:p>
        </w:tc>
        <w:tc>
          <w:tcPr>
            <w:tcW w:w="0" w:type="dxa"/>
            <w:vAlign w:val="bottom"/>
          </w:tcPr>
          <w:p>
            <w:pPr>
              <w:spacing w:after="0"/>
              <w:rPr>
                <w:sz w:val="1"/>
                <w:szCs w:val="1"/>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200" w:type="dxa"/>
            <w:vAlign w:val="bottom"/>
          </w:tcPr>
          <w:p>
            <w:pPr>
              <w:spacing w:after="0"/>
              <w:rPr>
                <w:sz w:val="18"/>
                <w:szCs w:val="18"/>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b w:val="1"/>
                <w:bCs w:val="1"/>
                <w:color w:val="auto"/>
              </w:rPr>
              <w:t>39,530</w:t>
            </w:r>
          </w:p>
        </w:tc>
        <w:tc>
          <w:tcPr>
            <w:tcW w:w="200" w:type="dxa"/>
            <w:vAlign w:val="bottom"/>
          </w:tcPr>
          <w:p>
            <w:pPr>
              <w:spacing w:after="0"/>
              <w:rPr>
                <w:sz w:val="18"/>
                <w:szCs w:val="18"/>
                <w:color w:val="auto"/>
              </w:rPr>
            </w:pPr>
          </w:p>
        </w:tc>
        <w:tc>
          <w:tcPr>
            <w:tcW w:w="1680" w:type="dxa"/>
            <w:vAlign w:val="bottom"/>
          </w:tcPr>
          <w:p>
            <w:pPr>
              <w:jc w:val="right"/>
              <w:ind w:right="140"/>
              <w:spacing w:after="0"/>
              <w:rPr>
                <w:sz w:val="20"/>
                <w:szCs w:val="20"/>
                <w:color w:val="auto"/>
              </w:rPr>
            </w:pPr>
            <w:r>
              <w:rPr>
                <w:rFonts w:ascii="Arial" w:cs="Arial" w:eastAsia="Arial" w:hAnsi="Arial"/>
                <w:sz w:val="16"/>
                <w:szCs w:val="16"/>
                <w:b w:val="1"/>
                <w:bCs w:val="1"/>
                <w:color w:val="auto"/>
              </w:rPr>
              <w:t>65,849</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(13,338)</w:t>
            </w:r>
          </w:p>
        </w:tc>
        <w:tc>
          <w:tcPr>
            <w:tcW w:w="20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b w:val="1"/>
                <w:bCs w:val="1"/>
                <w:color w:val="auto"/>
              </w:rPr>
              <w:t>92,041</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 and other</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6,827</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7,293</w:t>
            </w:r>
          </w:p>
        </w:tc>
        <w:tc>
          <w:tcPr>
            <w:tcW w:w="0" w:type="dxa"/>
            <w:vAlign w:val="bottom"/>
          </w:tcPr>
          <w:p>
            <w:pPr>
              <w:spacing w:after="0"/>
              <w:rPr>
                <w:sz w:val="1"/>
                <w:szCs w:val="1"/>
                <w:color w:val="auto"/>
              </w:rPr>
            </w:pPr>
          </w:p>
        </w:tc>
      </w:tr>
      <w:tr>
        <w:trPr>
          <w:trHeight w:val="242"/>
        </w:trPr>
        <w:tc>
          <w:tcPr>
            <w:tcW w:w="422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200" w:type="dxa"/>
            <w:vAlign w:val="bottom"/>
          </w:tcPr>
          <w:p>
            <w:pPr>
              <w:spacing w:after="0"/>
              <w:rPr>
                <w:sz w:val="21"/>
                <w:szCs w:val="21"/>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(86)</w:t>
            </w:r>
          </w:p>
        </w:tc>
        <w:tc>
          <w:tcPr>
            <w:tcW w:w="200" w:type="dxa"/>
            <w:vAlign w:val="bottom"/>
          </w:tcPr>
          <w:p>
            <w:pPr>
              <w:spacing w:after="0"/>
              <w:rPr>
                <w:sz w:val="21"/>
                <w:szCs w:val="21"/>
                <w:color w:val="auto"/>
              </w:rPr>
            </w:pP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(2,095)</w:t>
            </w:r>
          </w:p>
        </w:tc>
        <w:tc>
          <w:tcPr>
            <w:tcW w:w="200" w:type="dxa"/>
            <w:vAlign w:val="bottom"/>
          </w:tcPr>
          <w:p>
            <w:pPr>
              <w:spacing w:after="0"/>
              <w:rPr>
                <w:sz w:val="21"/>
                <w:szCs w:val="21"/>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244"/>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Strategic review and other transition expenses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55</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3,192</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3,247</w:t>
            </w:r>
          </w:p>
        </w:tc>
        <w:tc>
          <w:tcPr>
            <w:tcW w:w="0" w:type="dxa"/>
            <w:vAlign w:val="bottom"/>
          </w:tcPr>
          <w:p>
            <w:pPr>
              <w:spacing w:after="0"/>
              <w:rPr>
                <w:sz w:val="1"/>
                <w:szCs w:val="1"/>
                <w:color w:val="auto"/>
              </w:rPr>
            </w:pPr>
          </w:p>
        </w:tc>
      </w:tr>
      <w:tr>
        <w:trPr>
          <w:trHeight w:val="242"/>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loss/(income) attributable to noncontrolling interest</w:t>
            </w: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(316)</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1"/>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46,271</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65,601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(11,775)</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100,097</w:t>
            </w:r>
          </w:p>
        </w:tc>
        <w:tc>
          <w:tcPr>
            <w:tcW w:w="0" w:type="dxa"/>
            <w:vAlign w:val="bottom"/>
          </w:tcPr>
          <w:p>
            <w:pPr>
              <w:spacing w:after="0"/>
              <w:rPr>
                <w:sz w:val="1"/>
                <w:szCs w:val="1"/>
                <w:color w:val="auto"/>
              </w:rPr>
            </w:pPr>
          </w:p>
        </w:tc>
      </w:tr>
      <w:tr>
        <w:trPr>
          <w:trHeight w:val="155"/>
        </w:trPr>
        <w:tc>
          <w:tcPr>
            <w:tcW w:w="422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Adjusted EBITDA margin (Adjusted EBITDA divided</w:t>
            </w:r>
          </w:p>
        </w:tc>
        <w:tc>
          <w:tcPr>
            <w:tcW w:w="2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27.2 %</w:t>
            </w:r>
          </w:p>
        </w:tc>
        <w:tc>
          <w:tcPr>
            <w:tcW w:w="20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36.5 %</w:t>
            </w:r>
          </w:p>
        </w:tc>
        <w:tc>
          <w:tcPr>
            <w:tcW w:w="16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28.6 %</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by net revenues) (non-GAAP)</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September 30, 2025</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2"/>
                <w:szCs w:val="12"/>
                <w:color w:val="auto"/>
              </w:rPr>
            </w:pPr>
          </w:p>
        </w:tc>
        <w:tc>
          <w:tcPr>
            <w:tcW w:w="156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Machine Clothing</w:t>
            </w:r>
          </w:p>
        </w:tc>
        <w:tc>
          <w:tcPr>
            <w:tcW w:w="200" w:type="dxa"/>
            <w:vAlign w:val="bottom"/>
          </w:tcPr>
          <w:p>
            <w:pPr>
              <w:spacing w:after="0"/>
              <w:rPr>
                <w:sz w:val="12"/>
                <w:szCs w:val="12"/>
                <w:color w:val="auto"/>
              </w:rPr>
            </w:pPr>
          </w:p>
        </w:tc>
        <w:tc>
          <w:tcPr>
            <w:tcW w:w="1680" w:type="dxa"/>
            <w:vAlign w:val="bottom"/>
          </w:tcPr>
          <w:p>
            <w:pPr>
              <w:jc w:val="center"/>
              <w:ind w:right="160"/>
              <w:spacing w:after="0" w:line="147" w:lineRule="exact"/>
              <w:rPr>
                <w:sz w:val="20"/>
                <w:szCs w:val="20"/>
                <w:color w:val="auto"/>
              </w:rPr>
            </w:pPr>
            <w:r>
              <w:rPr>
                <w:rFonts w:ascii="Arial" w:cs="Arial" w:eastAsia="Arial" w:hAnsi="Arial"/>
                <w:sz w:val="14"/>
                <w:szCs w:val="14"/>
                <w:b w:val="1"/>
                <w:bCs w:val="1"/>
                <w:color w:val="auto"/>
              </w:rPr>
              <w:t>Albany Engineered</w:t>
            </w:r>
          </w:p>
        </w:tc>
        <w:tc>
          <w:tcPr>
            <w:tcW w:w="160" w:type="dxa"/>
            <w:vAlign w:val="bottom"/>
          </w:tcPr>
          <w:p>
            <w:pPr>
              <w:spacing w:after="0"/>
              <w:rPr>
                <w:sz w:val="12"/>
                <w:szCs w:val="12"/>
                <w:color w:val="auto"/>
              </w:rPr>
            </w:pPr>
          </w:p>
        </w:tc>
        <w:tc>
          <w:tcPr>
            <w:tcW w:w="1640" w:type="dxa"/>
            <w:vAlign w:val="bottom"/>
          </w:tcPr>
          <w:p>
            <w:pPr>
              <w:jc w:val="center"/>
              <w:ind w:right="100"/>
              <w:spacing w:after="0" w:line="147" w:lineRule="exact"/>
              <w:rPr>
                <w:sz w:val="20"/>
                <w:szCs w:val="20"/>
                <w:color w:val="auto"/>
              </w:rPr>
            </w:pPr>
            <w:r>
              <w:rPr>
                <w:rFonts w:ascii="Arial" w:cs="Arial" w:eastAsia="Arial" w:hAnsi="Arial"/>
                <w:sz w:val="14"/>
                <w:szCs w:val="14"/>
                <w:b w:val="1"/>
                <w:bCs w:val="1"/>
                <w:color w:val="auto"/>
              </w:rPr>
              <w:t>Corporate expenses</w:t>
            </w:r>
          </w:p>
        </w:tc>
        <w:tc>
          <w:tcPr>
            <w:tcW w:w="20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5"/>
        </w:trPr>
        <w:tc>
          <w:tcPr>
            <w:tcW w:w="42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Composites</w:t>
            </w: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and other</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140"/>
              <w:spacing w:after="0"/>
              <w:rPr>
                <w:sz w:val="20"/>
                <w:szCs w:val="20"/>
                <w:color w:val="auto"/>
              </w:rPr>
            </w:pPr>
            <w:r>
              <w:rPr>
                <w:rFonts w:ascii="Arial" w:cs="Arial" w:eastAsia="Arial" w:hAnsi="Arial"/>
                <w:sz w:val="16"/>
                <w:szCs w:val="16"/>
                <w:b w:val="1"/>
                <w:bCs w:val="1"/>
                <w:color w:val="auto"/>
              </w:rPr>
              <w:t>43,103</w:t>
            </w:r>
          </w:p>
        </w:tc>
        <w:tc>
          <w:tcPr>
            <w:tcW w:w="200" w:type="dxa"/>
            <w:vAlign w:val="bottom"/>
          </w:tcPr>
          <w:p>
            <w:pPr>
              <w:jc w:val="right"/>
              <w:ind w:right="41"/>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Pr>
          <w:p>
            <w:pPr>
              <w:jc w:val="right"/>
              <w:ind w:right="100"/>
              <w:spacing w:after="0"/>
              <w:rPr>
                <w:sz w:val="20"/>
                <w:szCs w:val="20"/>
                <w:color w:val="auto"/>
              </w:rPr>
            </w:pPr>
            <w:r>
              <w:rPr>
                <w:rFonts w:ascii="Arial" w:cs="Arial" w:eastAsia="Arial" w:hAnsi="Arial"/>
                <w:sz w:val="16"/>
                <w:szCs w:val="16"/>
                <w:b w:val="1"/>
                <w:bCs w:val="1"/>
                <w:color w:val="auto"/>
              </w:rPr>
              <w:t>(148,012)</w:t>
            </w:r>
          </w:p>
        </w:tc>
        <w:tc>
          <w:tcPr>
            <w:tcW w:w="160" w:type="dxa"/>
            <w:vAlign w:val="bottom"/>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7,271</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ind w:right="80"/>
              <w:spacing w:after="0"/>
              <w:rPr>
                <w:sz w:val="20"/>
                <w:szCs w:val="20"/>
                <w:color w:val="auto"/>
              </w:rPr>
            </w:pPr>
            <w:r>
              <w:rPr>
                <w:rFonts w:ascii="Arial" w:cs="Arial" w:eastAsia="Arial" w:hAnsi="Arial"/>
                <w:sz w:val="16"/>
                <w:szCs w:val="16"/>
                <w:b w:val="1"/>
                <w:bCs w:val="1"/>
                <w:color w:val="auto"/>
              </w:rPr>
              <w:t>(97,638)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expense/(income), net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5,897</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5,897</w:t>
            </w:r>
          </w:p>
        </w:tc>
        <w:tc>
          <w:tcPr>
            <w:tcW w:w="0" w:type="dxa"/>
            <w:vAlign w:val="bottom"/>
          </w:tcPr>
          <w:p>
            <w:pPr>
              <w:spacing w:after="0"/>
              <w:rPr>
                <w:sz w:val="1"/>
                <w:szCs w:val="1"/>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18"/>
                <w:szCs w:val="18"/>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(24,419)</w:t>
            </w:r>
          </w:p>
        </w:tc>
        <w:tc>
          <w:tcPr>
            <w:tcW w:w="200" w:type="dxa"/>
            <w:vAlign w:val="bottom"/>
          </w:tcPr>
          <w:p>
            <w:pPr>
              <w:spacing w:after="0"/>
              <w:rPr>
                <w:sz w:val="18"/>
                <w:szCs w:val="18"/>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(24,419)</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8,604</w:t>
            </w: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13,479</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22,438</w:t>
            </w:r>
          </w:p>
        </w:tc>
        <w:tc>
          <w:tcPr>
            <w:tcW w:w="0" w:type="dxa"/>
            <w:vAlign w:val="bottom"/>
          </w:tcPr>
          <w:p>
            <w:pPr>
              <w:spacing w:after="0"/>
              <w:rPr>
                <w:sz w:val="1"/>
                <w:szCs w:val="1"/>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200" w:type="dxa"/>
            <w:vAlign w:val="bottom"/>
          </w:tcPr>
          <w:p>
            <w:pPr>
              <w:spacing w:after="0"/>
              <w:rPr>
                <w:sz w:val="18"/>
                <w:szCs w:val="18"/>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b w:val="1"/>
                <w:bCs w:val="1"/>
                <w:color w:val="auto"/>
              </w:rPr>
              <w:t>51,707</w:t>
            </w:r>
          </w:p>
        </w:tc>
        <w:tc>
          <w:tcPr>
            <w:tcW w:w="200" w:type="dxa"/>
            <w:vAlign w:val="bottom"/>
          </w:tcPr>
          <w:p>
            <w:pPr>
              <w:spacing w:after="0"/>
              <w:rPr>
                <w:sz w:val="18"/>
                <w:szCs w:val="18"/>
                <w:color w:val="auto"/>
              </w:rPr>
            </w:pPr>
          </w:p>
        </w:tc>
        <w:tc>
          <w:tcPr>
            <w:tcW w:w="1680" w:type="dxa"/>
            <w:vAlign w:val="bottom"/>
          </w:tcPr>
          <w:p>
            <w:pPr>
              <w:jc w:val="right"/>
              <w:ind w:right="100"/>
              <w:spacing w:after="0"/>
              <w:rPr>
                <w:sz w:val="20"/>
                <w:szCs w:val="20"/>
                <w:color w:val="auto"/>
              </w:rPr>
            </w:pPr>
            <w:r>
              <w:rPr>
                <w:rFonts w:ascii="Arial" w:cs="Arial" w:eastAsia="Arial" w:hAnsi="Arial"/>
                <w:sz w:val="16"/>
                <w:szCs w:val="16"/>
                <w:b w:val="1"/>
                <w:bCs w:val="1"/>
                <w:color w:val="auto"/>
              </w:rPr>
              <w:t>(134,533)</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(10,896)</w:t>
            </w:r>
          </w:p>
        </w:tc>
        <w:tc>
          <w:tcPr>
            <w:tcW w:w="200" w:type="dxa"/>
            <w:vAlign w:val="bottom"/>
          </w:tcPr>
          <w:p>
            <w:pPr>
              <w:spacing w:after="0"/>
              <w:rPr>
                <w:sz w:val="18"/>
                <w:szCs w:val="18"/>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b w:val="1"/>
                <w:bCs w:val="1"/>
                <w:color w:val="auto"/>
              </w:rPr>
              <w:t>(93,722)</w:t>
            </w:r>
          </w:p>
        </w:tc>
        <w:tc>
          <w:tcPr>
            <w:tcW w:w="0" w:type="dxa"/>
            <w:vAlign w:val="bottom"/>
          </w:tcPr>
          <w:p>
            <w:pPr>
              <w:spacing w:after="0"/>
              <w:rPr>
                <w:sz w:val="1"/>
                <w:szCs w:val="1"/>
                <w:color w:val="auto"/>
              </w:rPr>
            </w:pPr>
          </w:p>
        </w:tc>
      </w:tr>
      <w:tr>
        <w:trPr>
          <w:trHeight w:val="351"/>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 and other</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1,960</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113</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3,197</w:t>
            </w:r>
          </w:p>
        </w:tc>
        <w:tc>
          <w:tcPr>
            <w:tcW w:w="0" w:type="dxa"/>
            <w:vAlign w:val="bottom"/>
          </w:tcPr>
          <w:p>
            <w:pPr>
              <w:spacing w:after="0"/>
              <w:rPr>
                <w:sz w:val="1"/>
                <w:szCs w:val="1"/>
                <w:color w:val="auto"/>
              </w:rPr>
            </w:pPr>
          </w:p>
        </w:tc>
      </w:tr>
      <w:tr>
        <w:trPr>
          <w:trHeight w:val="242"/>
        </w:trPr>
        <w:tc>
          <w:tcPr>
            <w:tcW w:w="422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200" w:type="dxa"/>
            <w:vAlign w:val="bottom"/>
          </w:tcPr>
          <w:p>
            <w:pPr>
              <w:spacing w:after="0"/>
              <w:rPr>
                <w:sz w:val="21"/>
                <w:szCs w:val="21"/>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541</w:t>
            </w:r>
          </w:p>
        </w:tc>
        <w:tc>
          <w:tcPr>
            <w:tcW w:w="200" w:type="dxa"/>
            <w:vAlign w:val="bottom"/>
          </w:tcPr>
          <w:p>
            <w:pPr>
              <w:spacing w:after="0"/>
              <w:rPr>
                <w:sz w:val="21"/>
                <w:szCs w:val="21"/>
                <w:color w:val="auto"/>
              </w:rPr>
            </w:pP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92</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(1,054)</w:t>
            </w:r>
          </w:p>
        </w:tc>
        <w:tc>
          <w:tcPr>
            <w:tcW w:w="200" w:type="dxa"/>
            <w:vAlign w:val="bottom"/>
          </w:tcPr>
          <w:p>
            <w:pPr>
              <w:spacing w:after="0"/>
              <w:rPr>
                <w:sz w:val="21"/>
                <w:szCs w:val="21"/>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44"/>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Strategic review and other transition expenses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noncontrolling interest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(160)</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54,210</w:t>
            </w: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(134,488)</w:t>
            </w: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(10,826)</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(91,104)</w:t>
            </w:r>
          </w:p>
        </w:tc>
        <w:tc>
          <w:tcPr>
            <w:tcW w:w="0" w:type="dxa"/>
            <w:vAlign w:val="bottom"/>
          </w:tcPr>
          <w:p>
            <w:pPr>
              <w:spacing w:after="0"/>
              <w:rPr>
                <w:sz w:val="1"/>
                <w:szCs w:val="1"/>
                <w:color w:val="auto"/>
              </w:rPr>
            </w:pPr>
          </w:p>
        </w:tc>
      </w:tr>
      <w:tr>
        <w:trPr>
          <w:trHeight w:val="155"/>
        </w:trPr>
        <w:tc>
          <w:tcPr>
            <w:tcW w:w="422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Adjusted EBITDA margin (Adjusted EBITDA divided</w:t>
            </w:r>
          </w:p>
        </w:tc>
        <w:tc>
          <w:tcPr>
            <w:tcW w:w="2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31.0 %</w:t>
            </w:r>
          </w:p>
        </w:tc>
        <w:tc>
          <w:tcPr>
            <w:tcW w:w="20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(155.5)%</w:t>
            </w:r>
          </w:p>
        </w:tc>
        <w:tc>
          <w:tcPr>
            <w:tcW w:w="16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(34.8)%</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by net revenues) (non-GAAP)</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 2026</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2"/>
                <w:szCs w:val="12"/>
                <w:color w:val="auto"/>
              </w:rPr>
            </w:pPr>
          </w:p>
        </w:tc>
        <w:tc>
          <w:tcPr>
            <w:tcW w:w="15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200" w:type="dxa"/>
            <w:vAlign w:val="bottom"/>
          </w:tcPr>
          <w:p>
            <w:pPr>
              <w:spacing w:after="0"/>
              <w:rPr>
                <w:sz w:val="12"/>
                <w:szCs w:val="12"/>
                <w:color w:val="auto"/>
              </w:rPr>
            </w:pPr>
          </w:p>
        </w:tc>
        <w:tc>
          <w:tcPr>
            <w:tcW w:w="1680" w:type="dxa"/>
            <w:vAlign w:val="bottom"/>
          </w:tcPr>
          <w:p>
            <w:pPr>
              <w:jc w:val="center"/>
              <w:ind w:right="100"/>
              <w:spacing w:after="0" w:line="147" w:lineRule="exact"/>
              <w:rPr>
                <w:sz w:val="20"/>
                <w:szCs w:val="20"/>
                <w:color w:val="auto"/>
              </w:rPr>
            </w:pPr>
            <w:r>
              <w:rPr>
                <w:rFonts w:ascii="Arial" w:cs="Arial" w:eastAsia="Arial" w:hAnsi="Arial"/>
                <w:sz w:val="14"/>
                <w:szCs w:val="14"/>
                <w:b w:val="1"/>
                <w:bCs w:val="1"/>
                <w:color w:val="auto"/>
              </w:rPr>
              <w:t>Albany Engineered</w:t>
            </w:r>
          </w:p>
        </w:tc>
        <w:tc>
          <w:tcPr>
            <w:tcW w:w="160" w:type="dxa"/>
            <w:vAlign w:val="bottom"/>
          </w:tcPr>
          <w:p>
            <w:pPr>
              <w:spacing w:after="0"/>
              <w:rPr>
                <w:sz w:val="12"/>
                <w:szCs w:val="12"/>
                <w:color w:val="auto"/>
              </w:rPr>
            </w:pPr>
          </w:p>
        </w:tc>
        <w:tc>
          <w:tcPr>
            <w:tcW w:w="164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rPr>
              <w:t>Corporate expenses</w:t>
            </w:r>
          </w:p>
        </w:tc>
        <w:tc>
          <w:tcPr>
            <w:tcW w:w="200" w:type="dxa"/>
            <w:vAlign w:val="bottom"/>
          </w:tcPr>
          <w:p>
            <w:pPr>
              <w:spacing w:after="0"/>
              <w:rPr>
                <w:sz w:val="12"/>
                <w:szCs w:val="12"/>
                <w:color w:val="auto"/>
              </w:rPr>
            </w:pPr>
          </w:p>
        </w:tc>
        <w:tc>
          <w:tcPr>
            <w:tcW w:w="13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5"/>
        </w:trPr>
        <w:tc>
          <w:tcPr>
            <w:tcW w:w="42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Composites</w:t>
            </w: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and other</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20"/>
              <w:spacing w:after="0"/>
              <w:rPr>
                <w:sz w:val="20"/>
                <w:szCs w:val="20"/>
                <w:color w:val="auto"/>
              </w:rPr>
            </w:pPr>
            <w:r>
              <w:rPr>
                <w:rFonts w:ascii="Arial" w:cs="Arial" w:eastAsia="Arial" w:hAnsi="Arial"/>
                <w:sz w:val="16"/>
                <w:szCs w:val="16"/>
                <w:b w:val="1"/>
                <w:bCs w:val="1"/>
                <w:color w:val="auto"/>
              </w:rPr>
              <w:t>97,815</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ind w:right="120"/>
              <w:spacing w:after="0"/>
              <w:rPr>
                <w:sz w:val="20"/>
                <w:szCs w:val="20"/>
                <w:color w:val="auto"/>
              </w:rPr>
            </w:pPr>
            <w:r>
              <w:rPr>
                <w:rFonts w:ascii="Arial" w:cs="Arial" w:eastAsia="Arial" w:hAnsi="Arial"/>
                <w:sz w:val="16"/>
                <w:szCs w:val="16"/>
                <w:b w:val="1"/>
                <w:bCs w:val="1"/>
                <w:color w:val="auto"/>
              </w:rPr>
              <w:t>63,373</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(86,149)</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120"/>
              <w:spacing w:after="0"/>
              <w:rPr>
                <w:sz w:val="20"/>
                <w:szCs w:val="20"/>
                <w:color w:val="auto"/>
              </w:rPr>
            </w:pPr>
            <w:r>
              <w:rPr>
                <w:rFonts w:ascii="Arial" w:cs="Arial" w:eastAsia="Arial" w:hAnsi="Arial"/>
                <w:sz w:val="16"/>
                <w:szCs w:val="16"/>
                <w:b w:val="1"/>
                <w:bCs w:val="1"/>
                <w:color w:val="auto"/>
              </w:rPr>
              <w:t>75,039</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expense/(income), net</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16,872</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16,872</w:t>
            </w:r>
          </w:p>
        </w:tc>
        <w:tc>
          <w:tcPr>
            <w:tcW w:w="0" w:type="dxa"/>
            <w:vAlign w:val="bottom"/>
          </w:tcPr>
          <w:p>
            <w:pPr>
              <w:spacing w:after="0"/>
              <w:rPr>
                <w:sz w:val="1"/>
                <w:szCs w:val="1"/>
                <w:color w:val="auto"/>
              </w:rPr>
            </w:pPr>
          </w:p>
        </w:tc>
      </w:tr>
      <w:tr>
        <w:trPr>
          <w:trHeight w:val="242"/>
        </w:trPr>
        <w:tc>
          <w:tcPr>
            <w:tcW w:w="42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21"/>
                <w:szCs w:val="21"/>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6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29,879</w:t>
            </w:r>
          </w:p>
        </w:tc>
        <w:tc>
          <w:tcPr>
            <w:tcW w:w="200" w:type="dxa"/>
            <w:vAlign w:val="bottom"/>
          </w:tcPr>
          <w:p>
            <w:pPr>
              <w:spacing w:after="0"/>
              <w:rPr>
                <w:sz w:val="21"/>
                <w:szCs w:val="21"/>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29,879</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25,096</w:t>
            </w: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39,852</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65,063</w:t>
            </w:r>
          </w:p>
        </w:tc>
        <w:tc>
          <w:tcPr>
            <w:tcW w:w="0" w:type="dxa"/>
            <w:vAlign w:val="bottom"/>
          </w:tcPr>
          <w:p>
            <w:pPr>
              <w:spacing w:after="0"/>
              <w:rPr>
                <w:sz w:val="1"/>
                <w:szCs w:val="1"/>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200" w:type="dxa"/>
            <w:vAlign w:val="bottom"/>
          </w:tcPr>
          <w:p>
            <w:pPr>
              <w:spacing w:after="0"/>
              <w:rPr>
                <w:sz w:val="18"/>
                <w:szCs w:val="18"/>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b w:val="1"/>
                <w:bCs w:val="1"/>
                <w:color w:val="auto"/>
              </w:rPr>
              <w:t>122,911</w:t>
            </w:r>
          </w:p>
        </w:tc>
        <w:tc>
          <w:tcPr>
            <w:tcW w:w="200" w:type="dxa"/>
            <w:vAlign w:val="bottom"/>
          </w:tcPr>
          <w:p>
            <w:pPr>
              <w:spacing w:after="0"/>
              <w:rPr>
                <w:sz w:val="18"/>
                <w:szCs w:val="18"/>
                <w:color w:val="auto"/>
              </w:rPr>
            </w:pPr>
          </w:p>
        </w:tc>
        <w:tc>
          <w:tcPr>
            <w:tcW w:w="1680" w:type="dxa"/>
            <w:vAlign w:val="bottom"/>
          </w:tcPr>
          <w:p>
            <w:pPr>
              <w:jc w:val="right"/>
              <w:ind w:right="120"/>
              <w:spacing w:after="0"/>
              <w:rPr>
                <w:sz w:val="20"/>
                <w:szCs w:val="20"/>
                <w:color w:val="auto"/>
              </w:rPr>
            </w:pPr>
            <w:r>
              <w:rPr>
                <w:rFonts w:ascii="Arial" w:cs="Arial" w:eastAsia="Arial" w:hAnsi="Arial"/>
                <w:sz w:val="16"/>
                <w:szCs w:val="16"/>
                <w:b w:val="1"/>
                <w:bCs w:val="1"/>
                <w:color w:val="auto"/>
              </w:rPr>
              <w:t>103,225</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(39,283)</w:t>
            </w:r>
          </w:p>
        </w:tc>
        <w:tc>
          <w:tcPr>
            <w:tcW w:w="20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b w:val="1"/>
                <w:bCs w:val="1"/>
                <w:color w:val="auto"/>
              </w:rPr>
              <w:t>186,853</w:t>
            </w:r>
          </w:p>
        </w:tc>
        <w:tc>
          <w:tcPr>
            <w:tcW w:w="0" w:type="dxa"/>
            <w:vAlign w:val="bottom"/>
          </w:tcPr>
          <w:p>
            <w:pPr>
              <w:spacing w:after="0"/>
              <w:rPr>
                <w:sz w:val="1"/>
                <w:szCs w:val="1"/>
                <w:color w:val="auto"/>
              </w:rPr>
            </w:pPr>
          </w:p>
        </w:tc>
      </w:tr>
      <w:tr>
        <w:trPr>
          <w:trHeight w:val="351"/>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 and other</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15,892</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18,431</w:t>
            </w:r>
          </w:p>
        </w:tc>
        <w:tc>
          <w:tcPr>
            <w:tcW w:w="0" w:type="dxa"/>
            <w:vAlign w:val="bottom"/>
          </w:tcPr>
          <w:p>
            <w:pPr>
              <w:spacing w:after="0"/>
              <w:rPr>
                <w:sz w:val="1"/>
                <w:szCs w:val="1"/>
                <w:color w:val="auto"/>
              </w:rPr>
            </w:pPr>
          </w:p>
        </w:tc>
      </w:tr>
      <w:tr>
        <w:trPr>
          <w:trHeight w:val="242"/>
        </w:trPr>
        <w:tc>
          <w:tcPr>
            <w:tcW w:w="422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200" w:type="dxa"/>
            <w:vAlign w:val="bottom"/>
          </w:tcPr>
          <w:p>
            <w:pPr>
              <w:spacing w:after="0"/>
              <w:rPr>
                <w:sz w:val="21"/>
                <w:szCs w:val="21"/>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1680" w:type="dxa"/>
            <w:vAlign w:val="bottom"/>
          </w:tcPr>
          <w:p>
            <w:pPr>
              <w:jc w:val="right"/>
              <w:ind w:right="80"/>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(4,726)</w:t>
            </w:r>
          </w:p>
        </w:tc>
        <w:tc>
          <w:tcPr>
            <w:tcW w:w="200" w:type="dxa"/>
            <w:vAlign w:val="bottom"/>
          </w:tcPr>
          <w:p>
            <w:pPr>
              <w:spacing w:after="0"/>
              <w:rPr>
                <w:sz w:val="21"/>
                <w:szCs w:val="21"/>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(4,755)</w:t>
            </w:r>
          </w:p>
        </w:tc>
        <w:tc>
          <w:tcPr>
            <w:tcW w:w="0" w:type="dxa"/>
            <w:vAlign w:val="bottom"/>
          </w:tcPr>
          <w:p>
            <w:pPr>
              <w:spacing w:after="0"/>
              <w:rPr>
                <w:sz w:val="1"/>
                <w:szCs w:val="1"/>
                <w:color w:val="auto"/>
              </w:rPr>
            </w:pPr>
          </w:p>
        </w:tc>
      </w:tr>
      <w:tr>
        <w:trPr>
          <w:trHeight w:val="244"/>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Strategic review and other transition expenses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541</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164</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5,685</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6,390</w:t>
            </w:r>
          </w:p>
        </w:tc>
        <w:tc>
          <w:tcPr>
            <w:tcW w:w="0" w:type="dxa"/>
            <w:vAlign w:val="bottom"/>
          </w:tcPr>
          <w:p>
            <w:pPr>
              <w:spacing w:after="0"/>
              <w:rPr>
                <w:sz w:val="1"/>
                <w:szCs w:val="1"/>
                <w:color w:val="auto"/>
              </w:rPr>
            </w:pPr>
          </w:p>
        </w:tc>
      </w:tr>
      <w:tr>
        <w:trPr>
          <w:trHeight w:val="21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noncontrolling interest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(836)</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139,343</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102,525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(35,785)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206,083</w:t>
            </w:r>
          </w:p>
        </w:tc>
        <w:tc>
          <w:tcPr>
            <w:tcW w:w="0" w:type="dxa"/>
            <w:vAlign w:val="bottom"/>
          </w:tcPr>
          <w:p>
            <w:pPr>
              <w:spacing w:after="0"/>
              <w:rPr>
                <w:sz w:val="1"/>
                <w:szCs w:val="1"/>
                <w:color w:val="auto"/>
              </w:rPr>
            </w:pPr>
          </w:p>
        </w:tc>
      </w:tr>
      <w:tr>
        <w:trPr>
          <w:trHeight w:val="155"/>
        </w:trPr>
        <w:tc>
          <w:tcPr>
            <w:tcW w:w="422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Adjusted EBITDA margin (Adjusted EBITDA divided</w:t>
            </w:r>
          </w:p>
        </w:tc>
        <w:tc>
          <w:tcPr>
            <w:tcW w:w="2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27.1 %</w:t>
            </w:r>
          </w:p>
        </w:tc>
        <w:tc>
          <w:tcPr>
            <w:tcW w:w="20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21.5 %</w:t>
            </w:r>
          </w:p>
        </w:tc>
        <w:tc>
          <w:tcPr>
            <w:tcW w:w="16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20.8 %</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by net revenues) (non-GAAP)</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Albany Engineered</w:t>
            </w:r>
          </w:p>
        </w:tc>
        <w:tc>
          <w:tcPr>
            <w:tcW w:w="160" w:type="dxa"/>
            <w:vAlign w:val="bottom"/>
          </w:tcPr>
          <w:p>
            <w:pPr>
              <w:spacing w:after="0"/>
              <w:rPr>
                <w:sz w:val="14"/>
                <w:szCs w:val="14"/>
                <w:color w:val="auto"/>
              </w:rPr>
            </w:pPr>
          </w:p>
        </w:tc>
        <w:tc>
          <w:tcPr>
            <w:tcW w:w="1640" w:type="dxa"/>
            <w:vAlign w:val="bottom"/>
          </w:tcPr>
          <w:p>
            <w:pPr>
              <w:jc w:val="right"/>
              <w:ind w:right="120"/>
              <w:spacing w:after="0"/>
              <w:rPr>
                <w:sz w:val="20"/>
                <w:szCs w:val="20"/>
                <w:color w:val="auto"/>
              </w:rPr>
            </w:pPr>
            <w:r>
              <w:rPr>
                <w:rFonts w:ascii="Arial" w:cs="Arial" w:eastAsia="Arial" w:hAnsi="Arial"/>
                <w:sz w:val="14"/>
                <w:szCs w:val="14"/>
                <w:b w:val="1"/>
                <w:bCs w:val="1"/>
                <w:color w:val="auto"/>
              </w:rPr>
              <w:t>Corporate expenses</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4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3"/>
                <w:szCs w:val="3"/>
                <w:color w:val="auto"/>
              </w:rPr>
            </w:pPr>
          </w:p>
        </w:tc>
        <w:tc>
          <w:tcPr>
            <w:tcW w:w="15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20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3"/>
                <w:szCs w:val="3"/>
                <w:color w:val="auto"/>
              </w:rPr>
            </w:pPr>
          </w:p>
        </w:tc>
        <w:tc>
          <w:tcPr>
            <w:tcW w:w="13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line="20" w:lineRule="exact"/>
              <w:rPr>
                <w:sz w:val="1"/>
                <w:szCs w:val="1"/>
                <w:color w:val="auto"/>
              </w:rPr>
            </w:pPr>
          </w:p>
        </w:tc>
      </w:tr>
      <w:tr>
        <w:trPr>
          <w:trHeight w:val="189"/>
        </w:trPr>
        <w:tc>
          <w:tcPr>
            <w:tcW w:w="4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Composites</w:t>
            </w: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20"/>
              <w:spacing w:after="0"/>
              <w:rPr>
                <w:sz w:val="20"/>
                <w:szCs w:val="20"/>
                <w:color w:val="auto"/>
              </w:rPr>
            </w:pPr>
            <w:r>
              <w:rPr>
                <w:rFonts w:ascii="Arial" w:cs="Arial" w:eastAsia="Arial" w:hAnsi="Arial"/>
                <w:sz w:val="16"/>
                <w:szCs w:val="16"/>
                <w:b w:val="1"/>
                <w:bCs w:val="1"/>
                <w:color w:val="auto"/>
              </w:rPr>
              <w:t>119,236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ind w:right="80"/>
              <w:spacing w:after="0"/>
              <w:rPr>
                <w:sz w:val="20"/>
                <w:szCs w:val="20"/>
                <w:color w:val="auto"/>
              </w:rPr>
            </w:pPr>
            <w:r>
              <w:rPr>
                <w:rFonts w:ascii="Arial" w:cs="Arial" w:eastAsia="Arial" w:hAnsi="Arial"/>
                <w:sz w:val="16"/>
                <w:szCs w:val="16"/>
                <w:b w:val="1"/>
                <w:bCs w:val="1"/>
                <w:color w:val="auto"/>
              </w:rPr>
              <w:t>(149,070)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(41,123)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b w:val="1"/>
                <w:bCs w:val="1"/>
                <w:color w:val="auto"/>
              </w:rPr>
              <w:t>(70,957)</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expense/(income), net</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14,702</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14,702</w:t>
            </w:r>
          </w:p>
        </w:tc>
        <w:tc>
          <w:tcPr>
            <w:tcW w:w="0" w:type="dxa"/>
            <w:vAlign w:val="bottom"/>
          </w:tcPr>
          <w:p>
            <w:pPr>
              <w:spacing w:after="0"/>
              <w:rPr>
                <w:sz w:val="1"/>
                <w:szCs w:val="1"/>
                <w:color w:val="auto"/>
              </w:rPr>
            </w:pPr>
          </w:p>
        </w:tc>
      </w:tr>
      <w:tr>
        <w:trPr>
          <w:trHeight w:val="350"/>
        </w:trPr>
        <w:tc>
          <w:tcPr>
            <w:tcW w:w="41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24"/>
                <w:szCs w:val="24"/>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6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(13,889)</w:t>
            </w:r>
          </w:p>
        </w:tc>
        <w:tc>
          <w:tcPr>
            <w:tcW w:w="200" w:type="dxa"/>
            <w:vAlign w:val="bottom"/>
          </w:tcPr>
          <w:p>
            <w:pPr>
              <w:spacing w:after="0"/>
              <w:rPr>
                <w:sz w:val="24"/>
                <w:szCs w:val="24"/>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(13,889)</w:t>
            </w:r>
          </w:p>
        </w:tc>
        <w:tc>
          <w:tcPr>
            <w:tcW w:w="0" w:type="dxa"/>
            <w:vAlign w:val="bottom"/>
          </w:tcPr>
          <w:p>
            <w:pPr>
              <w:spacing w:after="0"/>
              <w:rPr>
                <w:sz w:val="1"/>
                <w:szCs w:val="1"/>
                <w:color w:val="auto"/>
              </w:rPr>
            </w:pPr>
          </w:p>
        </w:tc>
      </w:tr>
      <w:tr>
        <w:trPr>
          <w:trHeight w:val="351"/>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24,283</w:t>
            </w:r>
          </w:p>
        </w:tc>
        <w:tc>
          <w:tcPr>
            <w:tcW w:w="2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40,229</w:t>
            </w:r>
          </w:p>
        </w:tc>
        <w:tc>
          <w:tcPr>
            <w:tcW w:w="16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2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65,480</w:t>
            </w:r>
          </w:p>
        </w:tc>
        <w:tc>
          <w:tcPr>
            <w:tcW w:w="0" w:type="dxa"/>
            <w:vAlign w:val="bottom"/>
          </w:tcPr>
          <w:p>
            <w:pPr>
              <w:spacing w:after="0"/>
              <w:rPr>
                <w:sz w:val="1"/>
                <w:szCs w:val="1"/>
                <w:color w:val="auto"/>
              </w:rPr>
            </w:pPr>
          </w:p>
        </w:tc>
      </w:tr>
      <w:tr>
        <w:trPr>
          <w:trHeight w:val="346"/>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300" w:type="dxa"/>
            <w:vAlign w:val="bottom"/>
          </w:tcPr>
          <w:p>
            <w:pPr>
              <w:spacing w:after="0"/>
              <w:rPr>
                <w:sz w:val="24"/>
                <w:szCs w:val="24"/>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b w:val="1"/>
                <w:bCs w:val="1"/>
                <w:color w:val="auto"/>
              </w:rPr>
              <w:t>143,519</w:t>
            </w:r>
          </w:p>
        </w:tc>
        <w:tc>
          <w:tcPr>
            <w:tcW w:w="200" w:type="dxa"/>
            <w:vAlign w:val="bottom"/>
          </w:tcPr>
          <w:p>
            <w:pPr>
              <w:spacing w:after="0"/>
              <w:rPr>
                <w:sz w:val="24"/>
                <w:szCs w:val="24"/>
                <w:color w:val="auto"/>
              </w:rPr>
            </w:pPr>
          </w:p>
        </w:tc>
        <w:tc>
          <w:tcPr>
            <w:tcW w:w="1680" w:type="dxa"/>
            <w:vAlign w:val="bottom"/>
          </w:tcPr>
          <w:p>
            <w:pPr>
              <w:jc w:val="right"/>
              <w:ind w:right="80"/>
              <w:spacing w:after="0"/>
              <w:rPr>
                <w:sz w:val="20"/>
                <w:szCs w:val="20"/>
                <w:color w:val="auto"/>
              </w:rPr>
            </w:pPr>
            <w:r>
              <w:rPr>
                <w:rFonts w:ascii="Arial" w:cs="Arial" w:eastAsia="Arial" w:hAnsi="Arial"/>
                <w:sz w:val="16"/>
                <w:szCs w:val="16"/>
                <w:b w:val="1"/>
                <w:bCs w:val="1"/>
                <w:color w:val="auto"/>
              </w:rPr>
              <w:t>(108,841)</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(39,342)</w:t>
            </w:r>
          </w:p>
        </w:tc>
        <w:tc>
          <w:tcPr>
            <w:tcW w:w="200" w:type="dxa"/>
            <w:vAlign w:val="bottom"/>
          </w:tcPr>
          <w:p>
            <w:pPr>
              <w:spacing w:after="0"/>
              <w:rPr>
                <w:sz w:val="24"/>
                <w:szCs w:val="24"/>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b w:val="1"/>
                <w:bCs w:val="1"/>
                <w:color w:val="auto"/>
              </w:rPr>
              <w:t>(4,664)</w:t>
            </w:r>
          </w:p>
        </w:tc>
        <w:tc>
          <w:tcPr>
            <w:tcW w:w="0" w:type="dxa"/>
            <w:vAlign w:val="bottom"/>
          </w:tcPr>
          <w:p>
            <w:pPr>
              <w:spacing w:after="0"/>
              <w:rPr>
                <w:sz w:val="1"/>
                <w:szCs w:val="1"/>
                <w:color w:val="auto"/>
              </w:rPr>
            </w:pPr>
          </w:p>
        </w:tc>
      </w:tr>
      <w:tr>
        <w:trPr>
          <w:trHeight w:val="351"/>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 and other</w:t>
            </w:r>
          </w:p>
        </w:tc>
        <w:tc>
          <w:tcPr>
            <w:tcW w:w="3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5,011</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1,801</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7,018</w:t>
            </w:r>
          </w:p>
        </w:tc>
        <w:tc>
          <w:tcPr>
            <w:tcW w:w="0" w:type="dxa"/>
            <w:vAlign w:val="bottom"/>
          </w:tcPr>
          <w:p>
            <w:pPr>
              <w:spacing w:after="0"/>
              <w:rPr>
                <w:sz w:val="1"/>
                <w:szCs w:val="1"/>
                <w:color w:val="auto"/>
              </w:rPr>
            </w:pPr>
          </w:p>
        </w:tc>
      </w:tr>
      <w:tr>
        <w:trPr>
          <w:trHeight w:val="242"/>
        </w:trPr>
        <w:tc>
          <w:tcPr>
            <w:tcW w:w="412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00" w:type="dxa"/>
            <w:vAlign w:val="bottom"/>
          </w:tcPr>
          <w:p>
            <w:pPr>
              <w:spacing w:after="0"/>
              <w:rPr>
                <w:sz w:val="21"/>
                <w:szCs w:val="21"/>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5,700</w:t>
            </w:r>
          </w:p>
        </w:tc>
        <w:tc>
          <w:tcPr>
            <w:tcW w:w="200" w:type="dxa"/>
            <w:vAlign w:val="bottom"/>
          </w:tcPr>
          <w:p>
            <w:pPr>
              <w:spacing w:after="0"/>
              <w:rPr>
                <w:sz w:val="21"/>
                <w:szCs w:val="21"/>
                <w:color w:val="auto"/>
              </w:rPr>
            </w:pPr>
          </w:p>
        </w:tc>
        <w:tc>
          <w:tcPr>
            <w:tcW w:w="1680" w:type="dxa"/>
            <w:vAlign w:val="bottom"/>
          </w:tcPr>
          <w:p>
            <w:pPr>
              <w:jc w:val="right"/>
              <w:ind w:right="80"/>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7,454</w:t>
            </w:r>
          </w:p>
        </w:tc>
        <w:tc>
          <w:tcPr>
            <w:tcW w:w="200" w:type="dxa"/>
            <w:vAlign w:val="bottom"/>
          </w:tcPr>
          <w:p>
            <w:pPr>
              <w:spacing w:after="0"/>
              <w:rPr>
                <w:sz w:val="21"/>
                <w:szCs w:val="21"/>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13,102</w:t>
            </w: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Strategic review and other transition expenses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182</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(412)</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35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noncontrolling interest</w:t>
            </w: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122</w:t>
            </w: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(459)</w:t>
            </w: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1"/>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154,534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(107,963)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15,505</w:t>
            </w:r>
          </w:p>
        </w:tc>
        <w:tc>
          <w:tcPr>
            <w:tcW w:w="0" w:type="dxa"/>
            <w:vAlign w:val="bottom"/>
          </w:tcPr>
          <w:p>
            <w:pPr>
              <w:spacing w:after="0"/>
              <w:rPr>
                <w:sz w:val="1"/>
                <w:szCs w:val="1"/>
                <w:color w:val="auto"/>
              </w:rPr>
            </w:pPr>
          </w:p>
        </w:tc>
      </w:tr>
      <w:tr>
        <w:trPr>
          <w:trHeight w:val="155"/>
        </w:trPr>
        <w:tc>
          <w:tcPr>
            <w:tcW w:w="412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Adjusted EBITDA margin (Adjusted EBITDA divided</w:t>
            </w:r>
          </w:p>
        </w:tc>
        <w:tc>
          <w:tcPr>
            <w:tcW w:w="3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29.1 %</w:t>
            </w:r>
          </w:p>
        </w:tc>
        <w:tc>
          <w:tcPr>
            <w:tcW w:w="20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(32.6)%</w:t>
            </w:r>
          </w:p>
        </w:tc>
        <w:tc>
          <w:tcPr>
            <w:tcW w:w="16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1.8 %</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by net revenues) (non-GAAP)</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presents the reconciliation of Machine Clothing's Adjusted EBITDA Margin to Adjusted EBITDA Margin excluding the effect of changes in currency translation rates, a non-GAAP measure: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(Decrease)/ increase</w:t>
            </w:r>
          </w:p>
        </w:tc>
        <w:tc>
          <w:tcPr>
            <w:tcW w:w="16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Q3 2026 on same basis</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rPr>
              <w:t>due to changes in</w:t>
            </w:r>
          </w:p>
        </w:tc>
        <w:tc>
          <w:tcPr>
            <w:tcW w:w="16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As reported, Q3</w:t>
            </w:r>
          </w:p>
        </w:tc>
        <w:tc>
          <w:tcPr>
            <w:tcW w:w="0" w:type="dxa"/>
            <w:vAlign w:val="bottom"/>
          </w:tcPr>
          <w:p>
            <w:pPr>
              <w:spacing w:after="0"/>
              <w:rPr>
                <w:sz w:val="1"/>
                <w:szCs w:val="1"/>
                <w:color w:val="auto"/>
              </w:rPr>
            </w:pPr>
          </w:p>
        </w:tc>
      </w:tr>
      <w:tr>
        <w:trPr>
          <w:trHeight w:val="148"/>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700" w:type="dxa"/>
            <w:vAlign w:val="bottom"/>
            <w:gridSpan w:val="2"/>
            <w:vMerge w:val="restart"/>
          </w:tcPr>
          <w:p>
            <w:pPr>
              <w:jc w:val="right"/>
              <w:ind w:right="22"/>
              <w:spacing w:after="0"/>
              <w:rPr>
                <w:sz w:val="20"/>
                <w:szCs w:val="20"/>
                <w:color w:val="auto"/>
              </w:rPr>
            </w:pPr>
            <w:r>
              <w:rPr>
                <w:rFonts w:ascii="Arial" w:cs="Arial" w:eastAsia="Arial" w:hAnsi="Arial"/>
                <w:sz w:val="14"/>
                <w:szCs w:val="14"/>
                <w:b w:val="1"/>
                <w:bCs w:val="1"/>
                <w:color w:val="auto"/>
              </w:rPr>
              <w:t>As reported, Q3 2026</w:t>
            </w: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currency translation</w:t>
            </w:r>
          </w:p>
        </w:tc>
        <w:tc>
          <w:tcPr>
            <w:tcW w:w="10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 Q3 2025 currency</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8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3"/>
              <w:spacing w:after="0"/>
              <w:rPr>
                <w:sz w:val="20"/>
                <w:szCs w:val="20"/>
                <w:color w:val="auto"/>
              </w:rPr>
            </w:pPr>
            <w:r>
              <w:rPr>
                <w:rFonts w:ascii="Arial" w:cs="Arial" w:eastAsia="Arial" w:hAnsi="Arial"/>
                <w:sz w:val="14"/>
                <w:szCs w:val="14"/>
                <w:b w:val="1"/>
                <w:bCs w:val="1"/>
                <w:color w:val="auto"/>
              </w:rPr>
              <w:t>rates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translation rates</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 Net revenues</w:t>
            </w:r>
          </w:p>
        </w:tc>
        <w:tc>
          <w:tcPr>
            <w:tcW w:w="78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169,802</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169,718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Machine Clothing Adjusted EBITDA (non-GAAP)</w:t>
            </w: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46,271</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6"/>
                <w:szCs w:val="16"/>
                <w:color w:val="auto"/>
              </w:rPr>
              <w:t>46,712</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54,210</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08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color w:val="auto"/>
              </w:rPr>
              <w:t>Adjusted EBITDA Margin (Adjusted EBITDA divided by net revenues)</w:t>
            </w:r>
          </w:p>
        </w:tc>
        <w:tc>
          <w:tcPr>
            <w:tcW w:w="7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27.2 %</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27.5 %</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31.0 %</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w:t>
            </w:r>
          </w:p>
        </w:tc>
        <w:tc>
          <w:tcPr>
            <w:tcW w:w="7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88"/>
        </w:trPr>
        <w:tc>
          <w:tcPr>
            <w:tcW w:w="5860" w:type="dxa"/>
            <w:vAlign w:val="bottom"/>
            <w:gridSpan w:val="2"/>
          </w:tcPr>
          <w:p>
            <w:pPr>
              <w:spacing w:after="0"/>
              <w:rPr>
                <w:sz w:val="20"/>
                <w:szCs w:val="20"/>
                <w:color w:val="auto"/>
              </w:rPr>
            </w:pPr>
            <w:r>
              <w:rPr>
                <w:rFonts w:ascii="Arial" w:cs="Arial" w:eastAsia="Arial" w:hAnsi="Arial"/>
                <w:sz w:val="16"/>
                <w:szCs w:val="16"/>
                <w:color w:val="auto"/>
              </w:rPr>
              <w:t>Per share impact of the adjustments to earnings per share are as follows: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2026</w:t>
            </w:r>
          </w:p>
        </w:tc>
        <w:tc>
          <w:tcPr>
            <w:tcW w:w="78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Pre tax</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After tax</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7"/>
        </w:trPr>
        <w:tc>
          <w:tcPr>
            <w:tcW w:w="50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Effect</w:t>
            </w:r>
          </w:p>
        </w:tc>
        <w:tc>
          <w:tcPr>
            <w:tcW w:w="0" w:type="dxa"/>
            <w:vAlign w:val="bottom"/>
          </w:tcPr>
          <w:p>
            <w:pPr>
              <w:spacing w:after="0" w:line="20" w:lineRule="exact"/>
              <w:rPr>
                <w:sz w:val="1"/>
                <w:szCs w:val="1"/>
                <w:color w:val="auto"/>
              </w:rPr>
            </w:pPr>
          </w:p>
        </w:tc>
      </w:tr>
      <w:tr>
        <w:trPr>
          <w:trHeight w:val="185"/>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7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Amounts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rPr>
              <w:t>Effect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82"/>
              <w:spacing w:after="0"/>
              <w:rPr>
                <w:sz w:val="20"/>
                <w:szCs w:val="20"/>
                <w:color w:val="auto"/>
              </w:rPr>
            </w:pPr>
            <w:r>
              <w:rPr>
                <w:rFonts w:ascii="Arial" w:cs="Arial" w:eastAsia="Arial" w:hAnsi="Arial"/>
                <w:sz w:val="14"/>
                <w:szCs w:val="14"/>
                <w:b w:val="1"/>
                <w:bCs w:val="1"/>
                <w:color w:val="auto"/>
              </w:rPr>
              <w:t>Effect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Restructuring costs and other</w:t>
            </w:r>
          </w:p>
        </w:tc>
        <w:tc>
          <w:tcPr>
            <w:tcW w:w="7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7,293</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1,816</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5,477</w:t>
            </w: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0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7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(2,168)</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(1,628)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Strategic review and other transition expenses</w:t>
            </w:r>
          </w:p>
        </w:tc>
        <w:tc>
          <w:tcPr>
            <w:tcW w:w="7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3,247</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809</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2,438</w:t>
            </w:r>
          </w:p>
        </w:tc>
        <w:tc>
          <w:tcPr>
            <w:tcW w:w="2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Three months ended September 30, 2025</w:t>
            </w:r>
          </w:p>
        </w:tc>
        <w:tc>
          <w:tcPr>
            <w:tcW w:w="7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Pre tax</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ind w:right="43"/>
              <w:spacing w:after="0"/>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62"/>
              <w:spacing w:after="0"/>
              <w:rPr>
                <w:sz w:val="20"/>
                <w:szCs w:val="20"/>
                <w:color w:val="auto"/>
              </w:rPr>
            </w:pPr>
            <w:r>
              <w:rPr>
                <w:rFonts w:ascii="Arial" w:cs="Arial" w:eastAsia="Arial" w:hAnsi="Arial"/>
                <w:sz w:val="14"/>
                <w:szCs w:val="14"/>
                <w:b w:val="1"/>
                <w:bCs w:val="1"/>
                <w:color w:val="auto"/>
              </w:rPr>
              <w:t>After tax</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89"/>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7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Amounts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rPr>
              <w:t>Effect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82"/>
              <w:spacing w:after="0"/>
              <w:rPr>
                <w:sz w:val="20"/>
                <w:szCs w:val="20"/>
                <w:color w:val="auto"/>
              </w:rPr>
            </w:pPr>
            <w:r>
              <w:rPr>
                <w:rFonts w:ascii="Arial" w:cs="Arial" w:eastAsia="Arial" w:hAnsi="Arial"/>
                <w:sz w:val="14"/>
                <w:szCs w:val="14"/>
                <w:b w:val="1"/>
                <w:bCs w:val="1"/>
                <w:color w:val="auto"/>
              </w:rPr>
              <w:t>Effect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Effect</w:t>
            </w: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Restructuring costs and other</w:t>
            </w:r>
          </w:p>
        </w:tc>
        <w:tc>
          <w:tcPr>
            <w:tcW w:w="7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639</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2,558</w:t>
            </w: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0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7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(421)</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Strategic review and other transition expenses</w:t>
            </w:r>
          </w:p>
        </w:tc>
        <w:tc>
          <w:tcPr>
            <w:tcW w:w="7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6"/>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Nine months ended September 30, 2026</w:t>
            </w:r>
          </w:p>
        </w:tc>
        <w:tc>
          <w:tcPr>
            <w:tcW w:w="7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Pre tax</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ind w:right="43"/>
              <w:spacing w:after="0"/>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62"/>
              <w:spacing w:after="0"/>
              <w:rPr>
                <w:sz w:val="20"/>
                <w:szCs w:val="20"/>
                <w:color w:val="auto"/>
              </w:rPr>
            </w:pPr>
            <w:r>
              <w:rPr>
                <w:rFonts w:ascii="Arial" w:cs="Arial" w:eastAsia="Arial" w:hAnsi="Arial"/>
                <w:sz w:val="14"/>
                <w:szCs w:val="14"/>
                <w:b w:val="1"/>
                <w:bCs w:val="1"/>
                <w:color w:val="auto"/>
              </w:rPr>
              <w:t>After tax</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5"/>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7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Amounts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rPr>
              <w:t>Effect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82"/>
              <w:spacing w:after="0"/>
              <w:rPr>
                <w:sz w:val="20"/>
                <w:szCs w:val="20"/>
                <w:color w:val="auto"/>
              </w:rPr>
            </w:pPr>
            <w:r>
              <w:rPr>
                <w:rFonts w:ascii="Arial" w:cs="Arial" w:eastAsia="Arial" w:hAnsi="Arial"/>
                <w:sz w:val="14"/>
                <w:szCs w:val="14"/>
                <w:b w:val="1"/>
                <w:bCs w:val="1"/>
                <w:color w:val="auto"/>
              </w:rPr>
              <w:t>Effect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Effect</w:t>
            </w:r>
          </w:p>
        </w:tc>
        <w:tc>
          <w:tcPr>
            <w:tcW w:w="0" w:type="dxa"/>
            <w:vAlign w:val="bottom"/>
          </w:tcPr>
          <w:p>
            <w:pPr>
              <w:spacing w:after="0"/>
              <w:rPr>
                <w:sz w:val="1"/>
                <w:szCs w:val="1"/>
                <w:color w:val="auto"/>
              </w:rPr>
            </w:pPr>
          </w:p>
        </w:tc>
      </w:tr>
      <w:tr>
        <w:trPr>
          <w:trHeight w:val="351"/>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Restructuring costs and other</w:t>
            </w:r>
          </w:p>
        </w:tc>
        <w:tc>
          <w:tcPr>
            <w:tcW w:w="7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18,431</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5,253</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13,178</w:t>
            </w: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0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7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(4,755)</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(1,355)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(3,400)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Strategic review and other transition expenses</w:t>
            </w:r>
          </w:p>
        </w:tc>
        <w:tc>
          <w:tcPr>
            <w:tcW w:w="7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6,390</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1,821</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4,569</w:t>
            </w:r>
          </w:p>
        </w:tc>
        <w:tc>
          <w:tcPr>
            <w:tcW w:w="2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Nine months ended September 30, 2025</w:t>
            </w:r>
          </w:p>
        </w:tc>
        <w:tc>
          <w:tcPr>
            <w:tcW w:w="1400" w:type="dxa"/>
            <w:vAlign w:val="bottom"/>
          </w:tcPr>
          <w:p>
            <w:pPr>
              <w:spacing w:after="0"/>
              <w:rPr>
                <w:sz w:val="14"/>
                <w:szCs w:val="14"/>
                <w:color w:val="auto"/>
              </w:rPr>
            </w:pPr>
          </w:p>
        </w:tc>
        <w:tc>
          <w:tcPr>
            <w:tcW w:w="1100" w:type="dxa"/>
            <w:vAlign w:val="bottom"/>
          </w:tcPr>
          <w:p>
            <w:pPr>
              <w:jc w:val="right"/>
              <w:ind w:right="343"/>
              <w:spacing w:after="0"/>
              <w:rPr>
                <w:sz w:val="20"/>
                <w:szCs w:val="20"/>
                <w:color w:val="auto"/>
              </w:rPr>
            </w:pPr>
            <w:r>
              <w:rPr>
                <w:rFonts w:ascii="Arial" w:cs="Arial" w:eastAsia="Arial" w:hAnsi="Arial"/>
                <w:sz w:val="14"/>
                <w:szCs w:val="14"/>
                <w:b w:val="1"/>
                <w:bCs w:val="1"/>
                <w:color w:val="auto"/>
              </w:rPr>
              <w:t>Pre tax</w:t>
            </w:r>
          </w:p>
        </w:tc>
        <w:tc>
          <w:tcPr>
            <w:tcW w:w="320" w:type="dxa"/>
            <w:vAlign w:val="bottom"/>
          </w:tcPr>
          <w:p>
            <w:pPr>
              <w:spacing w:after="0"/>
              <w:rPr>
                <w:sz w:val="14"/>
                <w:szCs w:val="14"/>
                <w:color w:val="auto"/>
              </w:rPr>
            </w:pPr>
          </w:p>
        </w:tc>
        <w:tc>
          <w:tcPr>
            <w:tcW w:w="1000" w:type="dxa"/>
            <w:vAlign w:val="bottom"/>
          </w:tcPr>
          <w:p>
            <w:pPr>
              <w:jc w:val="right"/>
              <w:ind w:right="443"/>
              <w:spacing w:after="0"/>
              <w:rPr>
                <w:sz w:val="20"/>
                <w:szCs w:val="20"/>
                <w:color w:val="auto"/>
              </w:rPr>
            </w:pPr>
            <w:r>
              <w:rPr>
                <w:rFonts w:ascii="Arial" w:cs="Arial" w:eastAsia="Arial" w:hAnsi="Arial"/>
                <w:sz w:val="14"/>
                <w:szCs w:val="14"/>
                <w:b w:val="1"/>
                <w:bCs w:val="1"/>
                <w:color w:val="auto"/>
              </w:rPr>
              <w:t>Tax</w:t>
            </w:r>
          </w:p>
        </w:tc>
        <w:tc>
          <w:tcPr>
            <w:tcW w:w="260" w:type="dxa"/>
            <w:vAlign w:val="bottom"/>
          </w:tcPr>
          <w:p>
            <w:pPr>
              <w:spacing w:after="0"/>
              <w:rPr>
                <w:sz w:val="14"/>
                <w:szCs w:val="14"/>
                <w:color w:val="auto"/>
              </w:rPr>
            </w:pPr>
          </w:p>
        </w:tc>
        <w:tc>
          <w:tcPr>
            <w:tcW w:w="1020" w:type="dxa"/>
            <w:vAlign w:val="bottom"/>
          </w:tcPr>
          <w:p>
            <w:pPr>
              <w:jc w:val="right"/>
              <w:ind w:right="243"/>
              <w:spacing w:after="0"/>
              <w:rPr>
                <w:sz w:val="20"/>
                <w:szCs w:val="20"/>
                <w:color w:val="auto"/>
              </w:rPr>
            </w:pPr>
            <w:r>
              <w:rPr>
                <w:rFonts w:ascii="Arial" w:cs="Arial" w:eastAsia="Arial" w:hAnsi="Arial"/>
                <w:sz w:val="14"/>
                <w:szCs w:val="14"/>
                <w:b w:val="1"/>
                <w:bCs w:val="1"/>
                <w:color w:val="auto"/>
              </w:rPr>
              <w:t>After tax</w:t>
            </w:r>
          </w:p>
        </w:tc>
        <w:tc>
          <w:tcPr>
            <w:tcW w:w="280" w:type="dxa"/>
            <w:vAlign w:val="bottom"/>
          </w:tcPr>
          <w:p>
            <w:pPr>
              <w:spacing w:after="0"/>
              <w:rPr>
                <w:sz w:val="14"/>
                <w:szCs w:val="14"/>
                <w:color w:val="auto"/>
              </w:rPr>
            </w:pPr>
          </w:p>
        </w:tc>
        <w:tc>
          <w:tcPr>
            <w:tcW w:w="1220" w:type="dxa"/>
            <w:vAlign w:val="bottom"/>
          </w:tcPr>
          <w:p>
            <w:pPr>
              <w:jc w:val="right"/>
              <w:ind w:right="323"/>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400" w:type="dxa"/>
            <w:vAlign w:val="bottom"/>
          </w:tcPr>
          <w:p>
            <w:pPr>
              <w:spacing w:after="0"/>
              <w:rPr>
                <w:sz w:val="17"/>
                <w:szCs w:val="17"/>
                <w:color w:val="auto"/>
              </w:rPr>
            </w:pPr>
          </w:p>
        </w:tc>
        <w:tc>
          <w:tcPr>
            <w:tcW w:w="1100" w:type="dxa"/>
            <w:vAlign w:val="bottom"/>
          </w:tcPr>
          <w:p>
            <w:pPr>
              <w:jc w:val="right"/>
              <w:ind w:right="263"/>
              <w:spacing w:after="0"/>
              <w:rPr>
                <w:sz w:val="20"/>
                <w:szCs w:val="20"/>
                <w:color w:val="auto"/>
              </w:rPr>
            </w:pPr>
            <w:r>
              <w:rPr>
                <w:rFonts w:ascii="Arial" w:cs="Arial" w:eastAsia="Arial" w:hAnsi="Arial"/>
                <w:sz w:val="14"/>
                <w:szCs w:val="14"/>
                <w:b w:val="1"/>
                <w:bCs w:val="1"/>
                <w:color w:val="auto"/>
              </w:rPr>
              <w:t>Amounts</w:t>
            </w:r>
          </w:p>
        </w:tc>
        <w:tc>
          <w:tcPr>
            <w:tcW w:w="320" w:type="dxa"/>
            <w:vAlign w:val="bottom"/>
          </w:tcPr>
          <w:p>
            <w:pPr>
              <w:spacing w:after="0"/>
              <w:rPr>
                <w:sz w:val="17"/>
                <w:szCs w:val="17"/>
                <w:color w:val="auto"/>
              </w:rPr>
            </w:pPr>
          </w:p>
        </w:tc>
        <w:tc>
          <w:tcPr>
            <w:tcW w:w="1000" w:type="dxa"/>
            <w:vAlign w:val="bottom"/>
          </w:tcPr>
          <w:p>
            <w:pPr>
              <w:jc w:val="right"/>
              <w:ind w:right="363"/>
              <w:spacing w:after="0"/>
              <w:rPr>
                <w:sz w:val="20"/>
                <w:szCs w:val="20"/>
                <w:color w:val="auto"/>
              </w:rPr>
            </w:pPr>
            <w:r>
              <w:rPr>
                <w:rFonts w:ascii="Arial" w:cs="Arial" w:eastAsia="Arial" w:hAnsi="Arial"/>
                <w:sz w:val="14"/>
                <w:szCs w:val="14"/>
                <w:b w:val="1"/>
                <w:bCs w:val="1"/>
                <w:color w:val="auto"/>
              </w:rPr>
              <w:t>Effect</w:t>
            </w:r>
          </w:p>
        </w:tc>
        <w:tc>
          <w:tcPr>
            <w:tcW w:w="260" w:type="dxa"/>
            <w:vAlign w:val="bottom"/>
          </w:tcPr>
          <w:p>
            <w:pPr>
              <w:spacing w:after="0"/>
              <w:rPr>
                <w:sz w:val="17"/>
                <w:szCs w:val="17"/>
                <w:color w:val="auto"/>
              </w:rPr>
            </w:pPr>
          </w:p>
        </w:tc>
        <w:tc>
          <w:tcPr>
            <w:tcW w:w="1020" w:type="dxa"/>
            <w:vAlign w:val="bottom"/>
          </w:tcPr>
          <w:p>
            <w:pPr>
              <w:jc w:val="right"/>
              <w:ind w:right="343"/>
              <w:spacing w:after="0"/>
              <w:rPr>
                <w:sz w:val="20"/>
                <w:szCs w:val="20"/>
                <w:color w:val="auto"/>
              </w:rPr>
            </w:pPr>
            <w:r>
              <w:rPr>
                <w:rFonts w:ascii="Arial" w:cs="Arial" w:eastAsia="Arial" w:hAnsi="Arial"/>
                <w:sz w:val="14"/>
                <w:szCs w:val="14"/>
                <w:b w:val="1"/>
                <w:bCs w:val="1"/>
                <w:color w:val="auto"/>
              </w:rPr>
              <w:t>Effect</w:t>
            </w:r>
          </w:p>
        </w:tc>
        <w:tc>
          <w:tcPr>
            <w:tcW w:w="280" w:type="dxa"/>
            <w:vAlign w:val="bottom"/>
          </w:tcPr>
          <w:p>
            <w:pPr>
              <w:spacing w:after="0"/>
              <w:rPr>
                <w:sz w:val="17"/>
                <w:szCs w:val="17"/>
                <w:color w:val="auto"/>
              </w:rPr>
            </w:pPr>
          </w:p>
        </w:tc>
        <w:tc>
          <w:tcPr>
            <w:tcW w:w="1220" w:type="dxa"/>
            <w:vAlign w:val="bottom"/>
          </w:tcPr>
          <w:p>
            <w:pPr>
              <w:jc w:val="right"/>
              <w:ind w:right="463"/>
              <w:spacing w:after="0"/>
              <w:rPr>
                <w:sz w:val="20"/>
                <w:szCs w:val="20"/>
                <w:color w:val="auto"/>
              </w:rPr>
            </w:pPr>
            <w:r>
              <w:rPr>
                <w:rFonts w:ascii="Arial" w:cs="Arial" w:eastAsia="Arial" w:hAnsi="Arial"/>
                <w:sz w:val="14"/>
                <w:szCs w:val="14"/>
                <w:b w:val="1"/>
                <w:bCs w:val="1"/>
                <w:color w:val="auto"/>
              </w:rPr>
              <w:t>Effect</w:t>
            </w:r>
          </w:p>
        </w:tc>
      </w:tr>
      <w:tr>
        <w:trPr>
          <w:trHeight w:val="29"/>
        </w:trPr>
        <w:tc>
          <w:tcPr>
            <w:tcW w:w="4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44"/>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 and other</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7,018</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r>
      <w:tr>
        <w:trPr>
          <w:trHeight w:val="242"/>
        </w:trPr>
        <w:tc>
          <w:tcPr>
            <w:tcW w:w="45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13,102</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2,149</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10,953</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243"/>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Strategic review and other transition expenses</w:t>
            </w:r>
          </w:p>
        </w:tc>
        <w:tc>
          <w:tcPr>
            <w:tcW w:w="14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bl>
    <w:p>
      <w:pPr>
        <w:spacing w:after="0" w:line="377"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following table provides a reconciliation of Earnings per share attributable to the Company shareholders - Diluted (GAAP) to Adjusted earnings per share attributable to the Company shareholders - Diluted (non-GAAP):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September 30,</w:t>
            </w:r>
          </w:p>
        </w:tc>
        <w:tc>
          <w:tcPr>
            <w:tcW w:w="3020" w:type="dxa"/>
            <w:vAlign w:val="bottom"/>
            <w:tcBorders>
              <w:top w:val="single" w:sz="8" w:color="auto"/>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amounts (Diluted)</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w:t>
            </w: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2.60</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Adjustments, after tax:</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 and other</w:t>
            </w: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0.19</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0.46</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(0.06)</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(0.01)</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ind w:left="80"/>
              <w:spacing w:after="0"/>
              <w:rPr>
                <w:sz w:val="20"/>
                <w:szCs w:val="20"/>
                <w:color w:val="auto"/>
              </w:rPr>
            </w:pPr>
            <w:r>
              <w:rPr>
                <w:rFonts w:ascii="Arial" w:cs="Arial" w:eastAsia="Arial" w:hAnsi="Arial"/>
                <w:sz w:val="16"/>
                <w:szCs w:val="16"/>
                <w:b w:val="1"/>
                <w:bCs w:val="1"/>
                <w:color w:val="auto"/>
              </w:rPr>
              <w:t>(0.12)</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Strategic review and other transition expenses</w:t>
            </w:r>
          </w:p>
        </w:tc>
        <w:tc>
          <w:tcPr>
            <w:tcW w:w="8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0.09</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0.16</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55"/>
        </w:trPr>
        <w:tc>
          <w:tcPr>
            <w:tcW w:w="5300" w:type="dxa"/>
            <w:vAlign w:val="bottom"/>
            <w:gridSpan w:val="3"/>
          </w:tcPr>
          <w:p>
            <w:pPr>
              <w:ind w:left="20"/>
              <w:spacing w:after="0" w:line="155" w:lineRule="exact"/>
              <w:rPr>
                <w:sz w:val="20"/>
                <w:szCs w:val="20"/>
                <w:color w:val="auto"/>
              </w:rPr>
            </w:pPr>
            <w:r>
              <w:rPr>
                <w:rFonts w:ascii="Arial" w:cs="Arial" w:eastAsia="Arial" w:hAnsi="Arial"/>
                <w:sz w:val="16"/>
                <w:szCs w:val="16"/>
                <w:color w:val="auto"/>
              </w:rPr>
              <w:t>Adjusted earnings per share attributable to Company shareholders -</w:t>
            </w: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1.68</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(3.29)</w:t>
            </w:r>
          </w:p>
        </w:tc>
        <w:tc>
          <w:tcPr>
            <w:tcW w:w="740" w:type="dxa"/>
            <w:vAlign w:val="bottom"/>
            <w:vMerge w:val="restart"/>
          </w:tcPr>
          <w:p>
            <w:pPr>
              <w:jc w:val="right"/>
              <w:ind w:right="561"/>
              <w:spacing w:after="0"/>
              <w:rPr>
                <w:sz w:val="20"/>
                <w:szCs w:val="20"/>
                <w:color w:val="auto"/>
              </w:rPr>
            </w:pPr>
            <w:r>
              <w:rPr>
                <w:rFonts w:ascii="Arial" w:cs="Arial" w:eastAsia="Arial" w:hAnsi="Arial"/>
                <w:sz w:val="16"/>
                <w:szCs w:val="16"/>
                <w:b w:val="1"/>
                <w:bCs w:val="1"/>
                <w:color w:val="auto"/>
                <w:w w:val="89"/>
              </w:rPr>
              <w:t>$</w:t>
            </w:r>
          </w:p>
        </w:tc>
        <w:tc>
          <w:tcPr>
            <w:tcW w:w="240" w:type="dxa"/>
            <w:vAlign w:val="bottom"/>
          </w:tcPr>
          <w:p>
            <w:pPr>
              <w:spacing w:after="0"/>
              <w:rPr>
                <w:sz w:val="13"/>
                <w:szCs w:val="13"/>
                <w:color w:val="auto"/>
              </w:rPr>
            </w:pPr>
          </w:p>
        </w:tc>
        <w:tc>
          <w:tcPr>
            <w:tcW w:w="5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3.10</w:t>
            </w: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(non-GAAP)</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93"/>
        </w:trPr>
        <w:tc>
          <w:tcPr>
            <w:tcW w:w="3940" w:type="dxa"/>
            <w:vAlign w:val="bottom"/>
          </w:tcPr>
          <w:p>
            <w:pPr>
              <w:spacing w:after="0"/>
              <w:rPr>
                <w:sz w:val="20"/>
                <w:szCs w:val="20"/>
                <w:color w:val="auto"/>
              </w:rPr>
            </w:pPr>
            <w:r>
              <w:rPr>
                <w:rFonts w:ascii="Arial" w:cs="Arial" w:eastAsia="Arial" w:hAnsi="Arial"/>
                <w:sz w:val="16"/>
                <w:szCs w:val="16"/>
                <w:color w:val="auto"/>
              </w:rPr>
              <w:t>The calculations of net debt are as follows:</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9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6"/>
                <w:szCs w:val="16"/>
                <w:b w:val="1"/>
                <w:bCs w:val="1"/>
                <w:color w:val="auto"/>
              </w:rPr>
              <w:t>September 30, 2026</w:t>
            </w: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16"/>
                <w:szCs w:val="16"/>
                <w:b w:val="1"/>
                <w:bCs w:val="1"/>
                <w:color w:val="auto"/>
              </w:rPr>
              <w:t>December 31, 2025</w:t>
            </w: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September 30, 2025</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422,087</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455,663</w:t>
            </w: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480,631</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debt</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422,087</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455,663</w:t>
            </w: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480,631</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79,125</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112,350</w:t>
            </w: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108,310</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debt (non-GAAP)</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342,962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343,313</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372,321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Free cash flow is defined as GAAP "Net cash provided by operating activities" in a period less "Purchases of property, plant and equipment" and "Purchased software" in the same period. Management believes free cash flow provides an important perspective on our ability to generate cash from our business operations and, as such, that it is an important financial measure for use in evaluating the Company's financial performance. Management uses free cash flow internally to assess overall liquidity. The following table illustrates the calculation of free cash flow: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3"/>
          </w:tcPr>
          <w:p>
            <w:pPr>
              <w:jc w:val="right"/>
              <w:ind w:right="42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080" w:type="dxa"/>
            <w:vAlign w:val="bottom"/>
            <w:gridSpan w:val="3"/>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2025</w:t>
            </w: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48,631</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43,939</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51,623</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78,772</w:t>
            </w:r>
          </w:p>
        </w:tc>
      </w:tr>
      <w:tr>
        <w:trPr>
          <w:trHeight w:val="471"/>
        </w:trPr>
        <w:tc>
          <w:tcPr>
            <w:tcW w:w="648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(12,107)</w:t>
            </w:r>
          </w:p>
        </w:tc>
        <w:tc>
          <w:tcPr>
            <w:tcW w:w="30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(18,033)</w:t>
            </w:r>
          </w:p>
        </w:tc>
        <w:tc>
          <w:tcPr>
            <w:tcW w:w="32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(33,277)</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(47,559)</w:t>
            </w:r>
          </w:p>
        </w:tc>
      </w:tr>
      <w:tr>
        <w:trPr>
          <w:trHeight w:val="21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Purchased software</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(43)</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(245)</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(55)</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36,481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25,661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18,291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29,963</w:t>
            </w:r>
          </w:p>
        </w:tc>
      </w:tr>
    </w:tbl>
    <w:p>
      <w:pPr>
        <w:spacing w:after="0" w:line="200" w:lineRule="exact"/>
        <w:rPr>
          <w:sz w:val="20"/>
          <w:szCs w:val="20"/>
          <w:color w:val="auto"/>
        </w:rPr>
      </w:pPr>
    </w:p>
    <w:p>
      <w:pPr>
        <w:sectPr>
          <w:pgSz w:w="11900" w:h="16838" w:orient="portrait"/>
          <w:cols w:equalWidth="0" w:num="1">
            <w:col w:w="11240"/>
          </w:cols>
          <w:pgMar w:left="320" w:top="9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About Albany International Corp.</w:t>
      </w:r>
    </w:p>
    <w:p>
      <w:pPr>
        <w:spacing w:after="0" w:line="26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Albany International is a leading developer and manufacturer of engineered components, using advanced materials processing and automation capabilities, with two core businesses.</w:t>
      </w:r>
    </w:p>
    <w:p>
      <w:pPr>
        <w:spacing w:after="0" w:line="183" w:lineRule="exact"/>
        <w:rPr>
          <w:sz w:val="20"/>
          <w:szCs w:val="20"/>
          <w:color w:val="auto"/>
        </w:rPr>
      </w:pPr>
    </w:p>
    <w:p>
      <w:pPr>
        <w:ind w:left="820" w:hanging="164"/>
        <w:spacing w:after="0" w:line="239" w:lineRule="auto"/>
        <w:tabs>
          <w:tab w:leader="none" w:pos="785" w:val="left"/>
        </w:tabs>
        <w:numPr>
          <w:ilvl w:val="0"/>
          <w:numId w:val="7"/>
        </w:numPr>
        <w:rPr>
          <w:rFonts w:ascii="Arial" w:cs="Arial" w:eastAsia="Arial" w:hAnsi="Arial"/>
          <w:sz w:val="16"/>
          <w:szCs w:val="16"/>
          <w:color w:val="auto"/>
        </w:rPr>
      </w:pPr>
      <w:r>
        <w:rPr>
          <w:rFonts w:ascii="Arial" w:cs="Arial" w:eastAsia="Arial" w:hAnsi="Arial"/>
          <w:sz w:val="16"/>
          <w:szCs w:val="16"/>
          <w:color w:val="auto"/>
        </w:rPr>
        <w:t>Machine Clothing is the world’s leading producer of custom-designed, consumable belts essential for the manufacture of paper, paperboard, tissue and towel, pulp, non-wovens and a variety of other industrial applications.</w:t>
      </w:r>
    </w:p>
    <w:p>
      <w:pPr>
        <w:ind w:left="820" w:hanging="164"/>
        <w:spacing w:after="0" w:line="220"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Albany Engineered Composites is a growing designer and manufacturer of advanced materials-based engineered components for demanding aerospace applications, supporting both commercial and military platforms.</w:t>
      </w:r>
    </w:p>
    <w:p>
      <w:pPr>
        <w:ind w:left="660"/>
        <w:spacing w:after="0" w:line="229" w:lineRule="auto"/>
        <w:rPr>
          <w:sz w:val="20"/>
          <w:szCs w:val="20"/>
          <w:color w:val="auto"/>
        </w:rPr>
      </w:pPr>
      <w:r>
        <w:rPr>
          <w:rFonts w:ascii="Arial" w:cs="Arial" w:eastAsia="Arial" w:hAnsi="Arial"/>
          <w:sz w:val="16"/>
          <w:szCs w:val="16"/>
          <w:color w:val="auto"/>
        </w:rPr>
        <w:t>.</w:t>
      </w:r>
    </w:p>
    <w:p>
      <w:pPr>
        <w:jc w:val="both"/>
        <w:spacing w:after="0" w:line="238" w:lineRule="auto"/>
        <w:rPr>
          <w:sz w:val="20"/>
          <w:szCs w:val="20"/>
          <w:color w:val="auto"/>
        </w:rPr>
      </w:pPr>
      <w:r>
        <w:rPr>
          <w:rFonts w:ascii="Arial" w:cs="Arial" w:eastAsia="Arial" w:hAnsi="Arial"/>
          <w:sz w:val="16"/>
          <w:szCs w:val="16"/>
          <w:color w:val="auto"/>
        </w:rPr>
        <w:t xml:space="preserve">Albany International is headquartered in Portsmouth, New Hampshire, operates 25 facilities in 12 countries, employs approximately 5,700 people worldwide, and is listed on the New York Stock Exchange (Symbol AIN). Additional information about the Company and its products and services can be found at </w:t>
      </w:r>
      <w:r>
        <w:rPr>
          <w:rFonts w:ascii="Arial" w:cs="Arial" w:eastAsia="Arial" w:hAnsi="Arial"/>
          <w:sz w:val="16"/>
          <w:szCs w:val="16"/>
          <w:color w:val="0000FF"/>
        </w:rPr>
        <w:t>www.albint.com</w:t>
      </w:r>
      <w:r>
        <w:rPr>
          <w:rFonts w:ascii="Arial" w:cs="Arial" w:eastAsia="Arial" w:hAnsi="Arial"/>
          <w:sz w:val="16"/>
          <w:szCs w:val="16"/>
          <w:color w:val="000000"/>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Measures</w:t>
      </w:r>
    </w:p>
    <w:p>
      <w:pPr>
        <w:spacing w:after="0" w:line="23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This release, including the conference call commentary associated with this release, contains certain non-GAAP measures, that should not be considered in isolation or as a substitute for the related GAAP measures. Such non-GAAP measures include net revenues and percent change in net revenues, excluding the impact of currency translation effects; adjusted net revenues; Adjusted Gross profit/(loss); Adjusted Operating income/(loss);EBITDA, Adjusted EBITDA, and Adjusted EBITDA margin; Net debt; Net leverage ratio; Adjusted Net Income; and Adjusted Diluted earnings per share (or Adjusted EPS). Management believes that these non-GAAP measures provide additional useful information to investors regarding the Company’s operational performance.</w:t>
      </w:r>
    </w:p>
    <w:p>
      <w:pPr>
        <w:spacing w:after="0" w:line="19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Presenting Net revenues and change in Net revenues, after currency effects are excluded, provides management and investors insight into underlying revenues trends. Net revenues, or percent changes in net revenues, excluding currency rate effects, are calculated by converting amounts reported in local currencies into U.S. dollars at the exchange rate of a prior period. These current year revenues converted at prior year rates are then compared to the U.S. dollar amount as reported in the prior period.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EBITDA (calculated as net income excluding interest, income taxes, depreciation and amortization), Adjusted EBITDA, and Adjusted EPS are</w:t>
      </w:r>
    </w:p>
    <w:p>
      <w:pPr>
        <w:spacing w:after="0" w:line="8" w:lineRule="exact"/>
        <w:rPr>
          <w:sz w:val="20"/>
          <w:szCs w:val="20"/>
          <w:color w:val="auto"/>
        </w:rPr>
      </w:pPr>
    </w:p>
    <w:p>
      <w:pPr>
        <w:jc w:val="both"/>
        <w:ind w:right="20"/>
        <w:spacing w:after="0" w:line="220" w:lineRule="auto"/>
        <w:rPr>
          <w:sz w:val="20"/>
          <w:szCs w:val="20"/>
          <w:color w:val="auto"/>
        </w:rPr>
      </w:pPr>
      <w:r>
        <w:rPr>
          <w:rFonts w:ascii="Arial" w:cs="Arial" w:eastAsia="Arial" w:hAnsi="Arial"/>
          <w:sz w:val="16"/>
          <w:szCs w:val="16"/>
          <w:color w:val="auto"/>
        </w:rPr>
        <w:t>performance measures that relate to the Company’s continuing operations. The Company defines Adjusted EBITDA as EBITDA excluding costs or benefits that are not reflective of the Company’s ongoing or expected future operational performance. Such excluded costs or benefits do not consist of normal,</w:t>
      </w:r>
    </w:p>
    <w:p>
      <w:pPr>
        <w:jc w:val="both"/>
        <w:spacing w:after="0" w:line="248" w:lineRule="auto"/>
        <w:rPr>
          <w:sz w:val="20"/>
          <w:szCs w:val="20"/>
          <w:color w:val="auto"/>
        </w:rPr>
      </w:pPr>
      <w:r>
        <w:rPr>
          <w:rFonts w:ascii="Arial" w:cs="Arial" w:eastAsia="Arial" w:hAnsi="Arial"/>
          <w:sz w:val="16"/>
          <w:szCs w:val="16"/>
          <w:color w:val="auto"/>
        </w:rPr>
        <w:t>recurring cash items necessary to generate revenues or operate our business. Adjusted EBITDA margin represents Adjusted EBITDA expressed as a percentage of net revenues.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defines Adjusted EPS as diluted earnings per share (GAAP), adjusted by the after tax per share amount of costs or benefits not</w:t>
      </w:r>
    </w:p>
    <w:p>
      <w:pPr>
        <w:spacing w:after="0" w:line="8"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reflective of the Company’s ongoing or expected future operational performance. The income tax effects are calculated using the applicable statutory income tax rate of the jurisdictions where such costs or benefits were incurred or the effective tax rate applicable to total company results.</w:t>
      </w:r>
    </w:p>
    <w:p>
      <w:pPr>
        <w:spacing w:after="0" w:line="20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6"/>
          <w:szCs w:val="16"/>
          <w:color w:val="auto"/>
        </w:rPr>
        <w:t>The Company’s Adjusted EBITDA, Adjusted EBITDA margin, Adjusted Net Income, and Adjusted EPS may not be comparable to similarly titled measures of other companies.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debt aids investors in understanding the Company’s debt position if all available cash were applied to pay down indebtedness.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encourage investors to review our financial statements and publicly-filed reports in their entirety and not to rely on any single financial measure.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This press release may contain statements, estimates, guidance or projections that constitute “forward-looking statements” as defined under U.S. federal securities laws. Generally, the words “believe,” “expect,” “intend,” “estimate,” “anticipate,” “project,” “will,” “should,” “look for,”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Quarterly Report on Form 10-Q), actual results may differ materially from those expressed or implied by such forward-looking statements.</w:t>
      </w:r>
    </w:p>
    <w:p>
      <w:pPr>
        <w:spacing w:after="0" w:line="1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Forward-looking statements in this release or in the webcast include, without limitation, statements about macroeconomic conditions, including inflationary cost pressures, as well as global events, which include but are not limited to geopolitical events; paper-industry trends and conditions during 2026 and in future years; expectations in 2026 and in future periods of revenues, Adjusted Net Revenues, EBITDA, Adjusted EBITDA (both in dollars and as a percentage of net revenues), Adjusted Net Income, Adjusted EPS, income, gross profit, gross margin, cash flows and other financial items in each of the Company’s businesses, and for the Company as a whole; the timing and impact of production and development programs in the Company’s AEC business segment and the revenues growth potential of key AEC programs, as well as AEC as a whole; the amount and timing of capital expenditures, future tax rates and cash paid for taxes, depreciation and amortization; future debt and net debt levels and debt covenant ratios; and changes in currency rates and their impact on future revaluation gains and losses. Furthermore, a change in any one or more of the foregoing factors could have a material effect on the Company’s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4" w:name="page15"/>
    <w:bookmarkEnd w:id="14"/>
    <w:p>
      <w:pPr>
        <w:jc w:val="both"/>
        <w:ind w:right="20"/>
        <w:spacing w:after="0" w:line="286" w:lineRule="auto"/>
        <w:rPr>
          <w:sz w:val="20"/>
          <w:szCs w:val="20"/>
          <w:color w:val="auto"/>
        </w:rPr>
      </w:pPr>
      <w:r>
        <w:rPr>
          <w:rFonts w:ascii="Arial" w:cs="Arial" w:eastAsia="Arial" w:hAnsi="Arial"/>
          <w:sz w:val="16"/>
          <w:szCs w:val="16"/>
          <w:color w:val="auto"/>
        </w:rPr>
        <w:t>financial results in any period. Such statements are based on current expectations, and the Company undertakes no obligation to publicly update or revise any forward-looking statements.</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Statements expressing management’s assessments of the growth potential of its businesses, or referring to earlier assessments of such potential, are not intended as forecasts of actual future growth, and should not be relied on as such. While management believes such assessments to have a reasonable basis, such assessments are, by their nature, inherently uncertain. This release and earlier releases set forth a number of assumptions regarding these assessments, including historical results, independent forecasts regarding the markets in which these businesses operate, and the timing and magnitude of orders for our customers’ products. Historical growth rates are no guarantee of future growth, and such independent forecasts and assumptions could prove materially incorrect in some cases.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 Blomquist</w:t>
      </w:r>
    </w:p>
    <w:p>
      <w:pPr>
        <w:spacing w:after="0" w:line="234" w:lineRule="auto"/>
        <w:rPr>
          <w:sz w:val="20"/>
          <w:szCs w:val="20"/>
          <w:color w:val="auto"/>
        </w:rPr>
      </w:pPr>
      <w:r>
        <w:rPr>
          <w:rFonts w:ascii="Arial" w:cs="Arial" w:eastAsia="Arial" w:hAnsi="Arial"/>
          <w:sz w:val="18"/>
          <w:szCs w:val="18"/>
          <w:color w:val="auto"/>
        </w:rPr>
        <w:t>Director, Investor Relations</w:t>
      </w:r>
    </w:p>
    <w:p>
      <w:pPr>
        <w:spacing w:after="0" w:line="235" w:lineRule="auto"/>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+1 603.330.2461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0000FF"/>
        </w:rPr>
        <w:t>Karen.Blomquist@albint.com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Sheri Tripp</w:t>
      </w:r>
    </w:p>
    <w:p>
      <w:pPr>
        <w:spacing w:after="0" w:line="234" w:lineRule="auto"/>
        <w:rPr>
          <w:sz w:val="20"/>
          <w:szCs w:val="20"/>
          <w:color w:val="auto"/>
        </w:rPr>
      </w:pPr>
      <w:r>
        <w:rPr>
          <w:rFonts w:ascii="Arial" w:cs="Arial" w:eastAsia="Arial" w:hAnsi="Arial"/>
          <w:sz w:val="18"/>
          <w:szCs w:val="18"/>
          <w:color w:val="auto"/>
        </w:rPr>
        <w:t>Senior Manager, Corporate Communications and Marketing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+1 603.330.8317</w:t>
      </w:r>
      <w:r>
        <w:rPr>
          <w:rFonts w:ascii="Arial" w:cs="Arial" w:eastAsia="Arial" w:hAnsi="Arial"/>
          <w:sz w:val="18"/>
          <w:szCs w:val="18"/>
          <w:b w:val="1"/>
          <w:bCs w:val="1"/>
          <w:color w:val="auto"/>
        </w:rPr>
        <w:t xml:space="preserve"> EMAIL </w:t>
      </w:r>
      <w:r>
        <w:rPr>
          <w:rFonts w:ascii="Arial" w:cs="Arial" w:eastAsia="Arial" w:hAnsi="Arial"/>
          <w:sz w:val="18"/>
          <w:szCs w:val="18"/>
          <w:color w:val="0000FF"/>
        </w:rPr>
        <w:t>Sheri.Tripp@albint.com</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sectPr>
      <w:pgSz w:w="11900" w:h="16838" w:orient="portrait"/>
      <w:cols w:equalWidth="0" w:num="1">
        <w:col w:w="11240"/>
      </w:cols>
      <w:pgMar w:left="320" w:top="8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2026-10-28T16:34:03Z</dcterms:created>
  <dcterms:modified xsi:type="dcterms:W3CDTF">2026-10-28T16:34:03Z</dcterms:modified>
</cp:coreProperties>
</file>